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238" w:rsidRPr="00E03343" w:rsidRDefault="000C3238" w:rsidP="00E03343">
      <w:pPr>
        <w:jc w:val="center"/>
        <w:rPr>
          <w:b/>
          <w:sz w:val="40"/>
          <w:szCs w:val="40"/>
        </w:rPr>
      </w:pPr>
      <w:bookmarkStart w:id="0" w:name="_GoBack"/>
      <w:bookmarkEnd w:id="0"/>
      <w:r w:rsidRPr="00E03343">
        <w:rPr>
          <w:noProof/>
          <w:sz w:val="40"/>
          <w:szCs w:val="40"/>
          <w:lang w:eastAsia="en-GB"/>
        </w:rPr>
        <w:drawing>
          <wp:inline distT="0" distB="0" distL="0" distR="0" wp14:anchorId="38557B8B" wp14:editId="427154F1">
            <wp:extent cx="1790700" cy="1371600"/>
            <wp:effectExtent l="0" t="0" r="0" b="0"/>
            <wp:docPr id="1073741825" name="officeArt object" descr="Kilburn Square Housing Co op Logo"/>
            <wp:cNvGraphicFramePr/>
            <a:graphic xmlns:a="http://schemas.openxmlformats.org/drawingml/2006/main">
              <a:graphicData uri="http://schemas.openxmlformats.org/drawingml/2006/picture">
                <pic:pic xmlns:pic="http://schemas.openxmlformats.org/drawingml/2006/picture">
                  <pic:nvPicPr>
                    <pic:cNvPr id="1073741825" name="officeArt object" descr="Kilburn Square Housing Co op Logo"/>
                    <pic:cNvPicPr/>
                  </pic:nvPicPr>
                  <pic:blipFill>
                    <a:blip r:embed="rId7">
                      <a:extLst/>
                    </a:blip>
                    <a:stretch>
                      <a:fillRect/>
                    </a:stretch>
                  </pic:blipFill>
                  <pic:spPr>
                    <a:xfrm>
                      <a:off x="0" y="0"/>
                      <a:ext cx="1790700" cy="1371600"/>
                    </a:xfrm>
                    <a:prstGeom prst="rect">
                      <a:avLst/>
                    </a:prstGeom>
                    <a:ln w="12700" cap="flat">
                      <a:noFill/>
                      <a:miter lim="400000"/>
                    </a:ln>
                    <a:effectLst/>
                  </pic:spPr>
                </pic:pic>
              </a:graphicData>
            </a:graphic>
          </wp:inline>
        </w:drawing>
      </w:r>
    </w:p>
    <w:p w:rsidR="000C3238" w:rsidRPr="00E03343" w:rsidRDefault="000C3238" w:rsidP="00E03343">
      <w:pPr>
        <w:jc w:val="center"/>
        <w:rPr>
          <w:b/>
          <w:sz w:val="40"/>
          <w:szCs w:val="40"/>
        </w:rPr>
      </w:pPr>
    </w:p>
    <w:p w:rsidR="000C3238" w:rsidRPr="00E03343" w:rsidRDefault="000C3238" w:rsidP="00E03343">
      <w:pPr>
        <w:jc w:val="center"/>
        <w:rPr>
          <w:b/>
          <w:sz w:val="40"/>
          <w:szCs w:val="40"/>
        </w:rPr>
      </w:pPr>
    </w:p>
    <w:p w:rsidR="006B3472" w:rsidRPr="00E03343" w:rsidRDefault="000C3238" w:rsidP="00E03343">
      <w:pPr>
        <w:jc w:val="center"/>
        <w:rPr>
          <w:b/>
          <w:sz w:val="40"/>
          <w:szCs w:val="40"/>
        </w:rPr>
      </w:pPr>
      <w:r w:rsidRPr="00E03343">
        <w:rPr>
          <w:b/>
          <w:sz w:val="40"/>
          <w:szCs w:val="40"/>
        </w:rPr>
        <w:t>Kilburn Square Housing Co-op</w:t>
      </w:r>
    </w:p>
    <w:p w:rsidR="000C3238" w:rsidRPr="00E03343" w:rsidRDefault="000C3238" w:rsidP="00E03343">
      <w:pPr>
        <w:jc w:val="center"/>
        <w:rPr>
          <w:b/>
          <w:sz w:val="40"/>
          <w:szCs w:val="40"/>
        </w:rPr>
      </w:pPr>
    </w:p>
    <w:p w:rsidR="000C3238" w:rsidRPr="00E03343" w:rsidRDefault="000C3238" w:rsidP="00E03343">
      <w:pPr>
        <w:jc w:val="center"/>
        <w:rPr>
          <w:b/>
          <w:sz w:val="40"/>
          <w:szCs w:val="40"/>
        </w:rPr>
      </w:pPr>
      <w:r w:rsidRPr="00E03343">
        <w:rPr>
          <w:b/>
          <w:sz w:val="40"/>
          <w:szCs w:val="40"/>
        </w:rPr>
        <w:t>Business Plan 2017-2022</w:t>
      </w:r>
    </w:p>
    <w:p w:rsidR="000C3238" w:rsidRPr="00E03343" w:rsidRDefault="000C3238" w:rsidP="00930D98">
      <w:pPr>
        <w:jc w:val="both"/>
      </w:pPr>
      <w:r w:rsidRPr="00E03343">
        <w:br w:type="page"/>
      </w:r>
    </w:p>
    <w:p w:rsidR="000C3238" w:rsidRPr="00E03343" w:rsidRDefault="000C3238" w:rsidP="00930D98">
      <w:pPr>
        <w:jc w:val="both"/>
        <w:rPr>
          <w:b/>
          <w:sz w:val="24"/>
          <w:szCs w:val="24"/>
        </w:rPr>
      </w:pPr>
      <w:r w:rsidRPr="00E03343">
        <w:rPr>
          <w:b/>
          <w:sz w:val="24"/>
          <w:szCs w:val="24"/>
        </w:rPr>
        <w:lastRenderedPageBreak/>
        <w:t>Contents</w:t>
      </w:r>
    </w:p>
    <w:p w:rsidR="000C3238" w:rsidRPr="00E03343" w:rsidRDefault="000C3238" w:rsidP="00930D98">
      <w:pPr>
        <w:jc w:val="both"/>
      </w:pPr>
    </w:p>
    <w:p w:rsidR="00881E95" w:rsidRDefault="000C3238" w:rsidP="00930D98">
      <w:pPr>
        <w:pStyle w:val="ListParagraph"/>
        <w:numPr>
          <w:ilvl w:val="0"/>
          <w:numId w:val="2"/>
        </w:numPr>
        <w:jc w:val="both"/>
      </w:pPr>
      <w:r w:rsidRPr="00E03343">
        <w:t>Executive Summary</w:t>
      </w:r>
      <w:r w:rsidR="00C86BD2">
        <w:t xml:space="preserve"> </w:t>
      </w:r>
      <w:r w:rsidR="00E03343">
        <w:t>……………..……………………………….....</w:t>
      </w:r>
      <w:r w:rsidR="00E03343">
        <w:tab/>
        <w:t>3</w:t>
      </w:r>
    </w:p>
    <w:p w:rsidR="00E03343" w:rsidRPr="00E03343" w:rsidRDefault="00E03343" w:rsidP="00E03343">
      <w:pPr>
        <w:pStyle w:val="ListParagraph"/>
        <w:ind w:left="1080"/>
        <w:jc w:val="both"/>
      </w:pPr>
    </w:p>
    <w:p w:rsidR="00E03343" w:rsidRDefault="000C3238" w:rsidP="00E03343">
      <w:pPr>
        <w:pStyle w:val="ListParagraph"/>
        <w:numPr>
          <w:ilvl w:val="0"/>
          <w:numId w:val="2"/>
        </w:numPr>
        <w:jc w:val="both"/>
      </w:pPr>
      <w:r w:rsidRPr="00E03343">
        <w:t>Introduction and background</w:t>
      </w:r>
      <w:r w:rsidR="00E03343">
        <w:t xml:space="preserve"> ……………………………….....</w:t>
      </w:r>
      <w:r w:rsidR="00E03343">
        <w:tab/>
        <w:t xml:space="preserve">4 </w:t>
      </w:r>
    </w:p>
    <w:p w:rsidR="00E03343" w:rsidRDefault="00E03343" w:rsidP="00E03343">
      <w:pPr>
        <w:pStyle w:val="ListParagraph"/>
      </w:pPr>
    </w:p>
    <w:p w:rsidR="00E03343" w:rsidRDefault="000C3238" w:rsidP="00E03343">
      <w:pPr>
        <w:pStyle w:val="ListParagraph"/>
        <w:numPr>
          <w:ilvl w:val="0"/>
          <w:numId w:val="2"/>
        </w:numPr>
        <w:jc w:val="both"/>
      </w:pPr>
      <w:r w:rsidRPr="00E03343">
        <w:t>Vision, Values and Objectives</w:t>
      </w:r>
      <w:r w:rsidR="00E03343">
        <w:t xml:space="preserve"> ………………………………....</w:t>
      </w:r>
      <w:r w:rsidR="00E03343">
        <w:tab/>
      </w:r>
      <w:r w:rsidR="00AE1012">
        <w:t>7</w:t>
      </w:r>
    </w:p>
    <w:p w:rsidR="00E03343" w:rsidRDefault="00E03343" w:rsidP="00E03343">
      <w:pPr>
        <w:pStyle w:val="ListParagraph"/>
      </w:pPr>
    </w:p>
    <w:p w:rsidR="00881E95" w:rsidRPr="003A4EED" w:rsidRDefault="000C3238" w:rsidP="00930D98">
      <w:pPr>
        <w:pStyle w:val="ListParagraph"/>
        <w:numPr>
          <w:ilvl w:val="0"/>
          <w:numId w:val="2"/>
        </w:numPr>
        <w:jc w:val="both"/>
      </w:pPr>
      <w:r w:rsidRPr="003A4EED">
        <w:t>Strategies</w:t>
      </w:r>
      <w:r w:rsidR="005F6F39" w:rsidRPr="003A4EED">
        <w:t xml:space="preserve"> and Action Plans</w:t>
      </w:r>
      <w:r w:rsidR="00E03343" w:rsidRPr="003A4EED">
        <w:t xml:space="preserve"> ………………………................</w:t>
      </w:r>
      <w:r w:rsidR="00E03343" w:rsidRPr="003A4EED">
        <w:tab/>
      </w:r>
      <w:r w:rsidR="003A4EED" w:rsidRPr="003A4EED">
        <w:t>9</w:t>
      </w:r>
    </w:p>
    <w:p w:rsidR="00E03343" w:rsidRDefault="00E03343" w:rsidP="00E03343">
      <w:pPr>
        <w:pStyle w:val="ListParagraph"/>
      </w:pPr>
    </w:p>
    <w:p w:rsidR="007C688A" w:rsidRPr="00E03343" w:rsidRDefault="000C3238" w:rsidP="00930D98">
      <w:pPr>
        <w:pStyle w:val="ListParagraph"/>
        <w:numPr>
          <w:ilvl w:val="0"/>
          <w:numId w:val="2"/>
        </w:numPr>
        <w:jc w:val="both"/>
      </w:pPr>
      <w:r w:rsidRPr="00E03343">
        <w:t>Finance and Risk Management Plan</w:t>
      </w:r>
      <w:r w:rsidR="00E03343">
        <w:t xml:space="preserve"> ………………………..</w:t>
      </w:r>
      <w:r w:rsidR="003D5921">
        <w:tab/>
        <w:t>12</w:t>
      </w:r>
    </w:p>
    <w:p w:rsidR="007C688A" w:rsidRPr="00E03343" w:rsidRDefault="007C688A" w:rsidP="00930D98">
      <w:pPr>
        <w:jc w:val="both"/>
      </w:pPr>
    </w:p>
    <w:p w:rsidR="00881E95" w:rsidRPr="00E03343" w:rsidRDefault="000C3238" w:rsidP="00930D98">
      <w:pPr>
        <w:pStyle w:val="ListParagraph"/>
        <w:numPr>
          <w:ilvl w:val="0"/>
          <w:numId w:val="5"/>
        </w:numPr>
        <w:jc w:val="both"/>
        <w:rPr>
          <w:b/>
          <w:sz w:val="24"/>
          <w:szCs w:val="24"/>
        </w:rPr>
      </w:pPr>
      <w:r w:rsidRPr="00E03343">
        <w:br w:type="page"/>
      </w:r>
      <w:r w:rsidRPr="00E03343">
        <w:rPr>
          <w:b/>
          <w:sz w:val="24"/>
          <w:szCs w:val="24"/>
        </w:rPr>
        <w:lastRenderedPageBreak/>
        <w:t>Executive summary</w:t>
      </w:r>
      <w:r w:rsidR="00C86BD2">
        <w:rPr>
          <w:b/>
          <w:sz w:val="24"/>
          <w:szCs w:val="24"/>
        </w:rPr>
        <w:t xml:space="preserve"> </w:t>
      </w:r>
    </w:p>
    <w:p w:rsidR="000B6A48" w:rsidRPr="00E03343" w:rsidRDefault="000B6A48" w:rsidP="00930D98">
      <w:pPr>
        <w:pStyle w:val="ListParagraph"/>
        <w:ind w:left="360"/>
        <w:jc w:val="both"/>
      </w:pPr>
    </w:p>
    <w:p w:rsidR="0014589B" w:rsidRPr="0014589B" w:rsidRDefault="0014589B" w:rsidP="0014589B">
      <w:pPr>
        <w:pStyle w:val="ListParagraph"/>
        <w:ind w:left="360"/>
        <w:jc w:val="both"/>
      </w:pPr>
      <w:r w:rsidRPr="0014589B">
        <w:t>Kilburn Squ</w:t>
      </w:r>
      <w:r>
        <w:t>are Housing Co-operative (KSHC)</w:t>
      </w:r>
      <w:r w:rsidRPr="0014589B">
        <w:t xml:space="preserve"> sets out our plans and visions for the future.  We are a not for profit organisation</w:t>
      </w:r>
      <w:r>
        <w:t>,</w:t>
      </w:r>
      <w:r w:rsidRPr="0014589B">
        <w:t xml:space="preserve"> a registered society under the Co-operative</w:t>
      </w:r>
      <w:r>
        <w:t xml:space="preserve"> and Community Benefit Act 2014</w:t>
      </w:r>
      <w:r w:rsidRPr="0014589B">
        <w:t xml:space="preserve"> and any surpluses made by KSHC prudent management will be used and applied back in the estate for the</w:t>
      </w:r>
      <w:r>
        <w:t xml:space="preserve"> benefit of all our residents. </w:t>
      </w:r>
      <w:r w:rsidRPr="0014589B">
        <w:t>KSHC has a healthy bank balance due to our car</w:t>
      </w:r>
      <w:r>
        <w:t>eful management over the years.</w:t>
      </w:r>
    </w:p>
    <w:p w:rsidR="0014589B" w:rsidRPr="0014589B" w:rsidRDefault="0014589B" w:rsidP="0014589B">
      <w:pPr>
        <w:pStyle w:val="ListParagraph"/>
        <w:ind w:left="360"/>
        <w:jc w:val="both"/>
      </w:pPr>
    </w:p>
    <w:p w:rsidR="0014589B" w:rsidRPr="0014589B" w:rsidRDefault="0014589B" w:rsidP="0014589B">
      <w:pPr>
        <w:pStyle w:val="ListParagraph"/>
        <w:ind w:left="360"/>
        <w:jc w:val="both"/>
      </w:pPr>
      <w:r w:rsidRPr="0014589B">
        <w:t>KSHC Board will be facing many challenges in future years on our allowances and the income KSH</w:t>
      </w:r>
      <w:r>
        <w:t xml:space="preserve">C receive from the council. </w:t>
      </w:r>
      <w:r w:rsidRPr="0014589B">
        <w:t>The KSHC board will be looking to find new business opportunities to replace the reduction of allowances to enable us to keep and maintain the high standard of management and services the residents of KSHC receive.</w:t>
      </w:r>
    </w:p>
    <w:p w:rsidR="0014589B" w:rsidRPr="0014589B" w:rsidRDefault="0014589B" w:rsidP="0014589B">
      <w:pPr>
        <w:pStyle w:val="ListParagraph"/>
        <w:ind w:left="360"/>
        <w:jc w:val="both"/>
      </w:pPr>
    </w:p>
    <w:p w:rsidR="0014589B" w:rsidRPr="0014589B" w:rsidRDefault="0014589B" w:rsidP="0014589B">
      <w:pPr>
        <w:pStyle w:val="ListParagraph"/>
        <w:ind w:left="360"/>
        <w:jc w:val="both"/>
      </w:pPr>
      <w:r>
        <w:t>KSHC i</w:t>
      </w:r>
      <w:r w:rsidRPr="0014589B">
        <w:t>s a member of the National Federation of Tenant Management Organisations (NFTMO) and hold a seat on the executive committee, who discuss at a national level issues concerning Tenant Management Organisations (TMO)</w:t>
      </w:r>
      <w:r>
        <w:t>.</w:t>
      </w:r>
    </w:p>
    <w:p w:rsidR="0014589B" w:rsidRPr="0014589B" w:rsidRDefault="0014589B" w:rsidP="0014589B">
      <w:pPr>
        <w:pStyle w:val="ListParagraph"/>
        <w:ind w:left="360"/>
        <w:jc w:val="both"/>
      </w:pPr>
    </w:p>
    <w:p w:rsidR="0014589B" w:rsidRPr="0014589B" w:rsidRDefault="0014589B" w:rsidP="0014589B">
      <w:pPr>
        <w:pStyle w:val="ListParagraph"/>
        <w:ind w:left="360"/>
        <w:jc w:val="both"/>
      </w:pPr>
      <w:r w:rsidRPr="0014589B">
        <w:t>In 2017 KSHC w</w:t>
      </w:r>
      <w:r>
        <w:t>ill be negotiating a new Modular</w:t>
      </w:r>
      <w:r w:rsidRPr="0014589B">
        <w:t xml:space="preserve"> Maintenance Agreement (MMA) with the Brent Housing Partnership (BHP)/Brent Council.</w:t>
      </w:r>
    </w:p>
    <w:p w:rsidR="0014589B" w:rsidRPr="0014589B" w:rsidRDefault="0014589B" w:rsidP="0014589B">
      <w:pPr>
        <w:pStyle w:val="ListParagraph"/>
        <w:ind w:left="360"/>
        <w:jc w:val="both"/>
      </w:pPr>
    </w:p>
    <w:p w:rsidR="0014589B" w:rsidRPr="0014589B" w:rsidRDefault="0014589B" w:rsidP="0014589B">
      <w:pPr>
        <w:pStyle w:val="ListParagraph"/>
        <w:ind w:left="360"/>
        <w:jc w:val="both"/>
      </w:pPr>
      <w:r w:rsidRPr="0014589B">
        <w:t>KSHC philosophy is to achieve best value in all areas, by continuing to look at our services and procedures, consulting our stakeholders and to be focused to improve our performance to ensure delivery of a quality service to our estate and the wider community.</w:t>
      </w:r>
    </w:p>
    <w:p w:rsidR="0014589B" w:rsidRPr="0014589B" w:rsidRDefault="0014589B" w:rsidP="0014589B">
      <w:pPr>
        <w:pStyle w:val="ListParagraph"/>
        <w:ind w:left="360"/>
        <w:jc w:val="both"/>
      </w:pPr>
    </w:p>
    <w:p w:rsidR="0014589B" w:rsidRPr="0014589B" w:rsidRDefault="0014589B" w:rsidP="0014589B">
      <w:pPr>
        <w:pStyle w:val="ListParagraph"/>
        <w:ind w:left="360"/>
        <w:jc w:val="both"/>
      </w:pPr>
      <w:r w:rsidRPr="0014589B">
        <w:t>Margaret Von Stoll</w:t>
      </w:r>
    </w:p>
    <w:p w:rsidR="0014589B" w:rsidRPr="0014589B" w:rsidRDefault="0014589B" w:rsidP="0014589B">
      <w:pPr>
        <w:pStyle w:val="ListParagraph"/>
        <w:ind w:left="360"/>
        <w:jc w:val="both"/>
      </w:pPr>
      <w:r>
        <w:t>Chair</w:t>
      </w:r>
    </w:p>
    <w:p w:rsidR="0014589B" w:rsidRPr="00E03343" w:rsidRDefault="0014589B" w:rsidP="00930D98">
      <w:pPr>
        <w:pStyle w:val="ListParagraph"/>
        <w:ind w:left="360"/>
        <w:jc w:val="both"/>
      </w:pPr>
    </w:p>
    <w:p w:rsidR="00881E95" w:rsidRPr="00E03343" w:rsidRDefault="00881E95" w:rsidP="00930D98">
      <w:pPr>
        <w:pStyle w:val="ListParagraph"/>
        <w:jc w:val="both"/>
      </w:pPr>
    </w:p>
    <w:p w:rsidR="00881E95" w:rsidRPr="00E03343" w:rsidRDefault="00881E95" w:rsidP="00930D98">
      <w:pPr>
        <w:pStyle w:val="ListParagraph"/>
        <w:jc w:val="both"/>
      </w:pPr>
    </w:p>
    <w:p w:rsidR="00881E95" w:rsidRPr="00E03343" w:rsidRDefault="00881E95" w:rsidP="00930D98">
      <w:pPr>
        <w:jc w:val="both"/>
      </w:pPr>
      <w:r w:rsidRPr="00E03343">
        <w:br w:type="page"/>
      </w:r>
    </w:p>
    <w:p w:rsidR="00881E95" w:rsidRPr="00E03343" w:rsidRDefault="00881E95" w:rsidP="00930D98">
      <w:pPr>
        <w:pStyle w:val="ListParagraph"/>
        <w:numPr>
          <w:ilvl w:val="0"/>
          <w:numId w:val="5"/>
        </w:numPr>
        <w:jc w:val="both"/>
        <w:rPr>
          <w:b/>
          <w:sz w:val="24"/>
          <w:szCs w:val="24"/>
        </w:rPr>
      </w:pPr>
      <w:r w:rsidRPr="00E03343">
        <w:rPr>
          <w:b/>
          <w:sz w:val="24"/>
          <w:szCs w:val="24"/>
        </w:rPr>
        <w:lastRenderedPageBreak/>
        <w:t>Introduction and background</w:t>
      </w:r>
      <w:bookmarkStart w:id="1" w:name="_Toc4"/>
    </w:p>
    <w:p w:rsidR="00881E95" w:rsidRPr="00E03343" w:rsidRDefault="00881E95" w:rsidP="00930D98">
      <w:pPr>
        <w:pStyle w:val="ListParagraph"/>
        <w:ind w:left="360"/>
        <w:jc w:val="both"/>
      </w:pPr>
    </w:p>
    <w:p w:rsidR="00881E95" w:rsidRPr="00E03343" w:rsidRDefault="00881E95" w:rsidP="00930D98">
      <w:pPr>
        <w:pStyle w:val="ListParagraph"/>
        <w:numPr>
          <w:ilvl w:val="1"/>
          <w:numId w:val="10"/>
        </w:numPr>
        <w:jc w:val="both"/>
      </w:pPr>
      <w:r w:rsidRPr="00E03343">
        <w:t xml:space="preserve">About </w:t>
      </w:r>
      <w:bookmarkEnd w:id="1"/>
      <w:r w:rsidRPr="00E03343">
        <w:t>our TMO and our business plan</w:t>
      </w:r>
    </w:p>
    <w:p w:rsidR="00881E95" w:rsidRPr="00E03343" w:rsidRDefault="00881E95" w:rsidP="00930D98">
      <w:pPr>
        <w:pStyle w:val="ListParagraph"/>
        <w:ind w:left="360"/>
        <w:jc w:val="both"/>
      </w:pPr>
    </w:p>
    <w:p w:rsidR="00273982" w:rsidRPr="00E03343" w:rsidRDefault="00881E95" w:rsidP="00930D98">
      <w:pPr>
        <w:pStyle w:val="ListParagraph"/>
        <w:ind w:left="360"/>
        <w:jc w:val="both"/>
      </w:pPr>
      <w:r w:rsidRPr="00E03343">
        <w:t>Kilb</w:t>
      </w:r>
      <w:r w:rsidR="0014589B">
        <w:t xml:space="preserve">urn Square Housing Co-op </w:t>
      </w:r>
      <w:r w:rsidR="000B5AC7" w:rsidRPr="00E03343">
        <w:t>is</w:t>
      </w:r>
      <w:r w:rsidR="00EC086B" w:rsidRPr="00E03343">
        <w:t xml:space="preserve"> a </w:t>
      </w:r>
      <w:r w:rsidR="000B5AC7" w:rsidRPr="00E03343">
        <w:t>l</w:t>
      </w:r>
      <w:r w:rsidR="00530E45" w:rsidRPr="00E03343">
        <w:t>imited company registered with the Financial Services Authority as an Industrial and Provident Society (Registration number IP27573R).</w:t>
      </w:r>
      <w:r w:rsidR="000B5AC7" w:rsidRPr="00E03343">
        <w:t xml:space="preserve"> It was set up </w:t>
      </w:r>
      <w:r w:rsidR="00AD05CB" w:rsidRPr="00E03343">
        <w:t xml:space="preserve">in 1994 </w:t>
      </w:r>
      <w:r w:rsidR="000B5AC7" w:rsidRPr="00E03343">
        <w:t>as a Tenant Management Organis</w:t>
      </w:r>
      <w:r w:rsidR="0014589B">
        <w:t>ation</w:t>
      </w:r>
      <w:r w:rsidR="000B5AC7" w:rsidRPr="00E03343">
        <w:t xml:space="preserve"> governed in line with the Right to Manage Legislation.</w:t>
      </w:r>
      <w:r w:rsidR="00462930" w:rsidRPr="00E03343">
        <w:t xml:space="preserve"> </w:t>
      </w:r>
      <w:r w:rsidRPr="00E03343">
        <w:t xml:space="preserve">We have a legally binding contract with Brent </w:t>
      </w:r>
      <w:r w:rsidR="00273982" w:rsidRPr="00E03343">
        <w:t>Council:</w:t>
      </w:r>
      <w:r w:rsidRPr="00E03343">
        <w:t xml:space="preserve"> a Mo</w:t>
      </w:r>
      <w:r w:rsidR="0014589B">
        <w:t>dular Management Agreement</w:t>
      </w:r>
      <w:r w:rsidRPr="00E03343">
        <w:t xml:space="preserve"> which sets out our role and responsibilities as well as the Council</w:t>
      </w:r>
      <w:r w:rsidR="00273982" w:rsidRPr="00E03343">
        <w:t>’s role and responsibilities.</w:t>
      </w:r>
      <w:r w:rsidR="00462930" w:rsidRPr="00E03343">
        <w:t xml:space="preserve"> We celebrate 25 years of operation as a Co-op in 2017.</w:t>
      </w:r>
    </w:p>
    <w:p w:rsidR="00273982" w:rsidRPr="00E03343" w:rsidRDefault="00273982" w:rsidP="00930D98">
      <w:pPr>
        <w:pStyle w:val="ListParagraph"/>
        <w:ind w:left="360"/>
        <w:jc w:val="both"/>
      </w:pPr>
    </w:p>
    <w:p w:rsidR="00273982" w:rsidRPr="00E03343" w:rsidRDefault="00462930" w:rsidP="00930D98">
      <w:pPr>
        <w:pStyle w:val="ListParagraph"/>
        <w:ind w:left="360"/>
        <w:jc w:val="both"/>
      </w:pPr>
      <w:r w:rsidRPr="00E03343">
        <w:t>The TMO</w:t>
      </w:r>
      <w:r w:rsidR="00881E95" w:rsidRPr="00E03343">
        <w:t xml:space="preserve"> m</w:t>
      </w:r>
      <w:r w:rsidR="00456670" w:rsidRPr="00E03343">
        <w:t>anage</w:t>
      </w:r>
      <w:r w:rsidRPr="00E03343">
        <w:t>s</w:t>
      </w:r>
      <w:r w:rsidR="00456670" w:rsidRPr="00E03343">
        <w:t xml:space="preserve"> 246 properties of which approximately 30%</w:t>
      </w:r>
      <w:r w:rsidR="00881E95" w:rsidRPr="00E03343">
        <w:t xml:space="preserve"> are leasehold</w:t>
      </w:r>
      <w:r w:rsidR="00456670" w:rsidRPr="00E03343">
        <w:t>er</w:t>
      </w:r>
      <w:r w:rsidR="00881E95" w:rsidRPr="00E03343">
        <w:t xml:space="preserve"> properties. </w:t>
      </w:r>
      <w:r w:rsidR="00DA576F" w:rsidRPr="00E03343">
        <w:t>KSHC is an open and democratically run organisation, governed by a Management Board made up of residents who sit as volunteer Directors that are responsible for the strategic delivery of all underta</w:t>
      </w:r>
      <w:r w:rsidR="00273982" w:rsidRPr="00E03343">
        <w:t>kings. All residents with a legal entitlement to live on the estate are entitled to become Members and to participate in the decision-making processes of the TMO.</w:t>
      </w:r>
    </w:p>
    <w:p w:rsidR="00273982" w:rsidRPr="00E03343" w:rsidRDefault="00273982" w:rsidP="00930D98">
      <w:pPr>
        <w:pStyle w:val="ListParagraph"/>
        <w:ind w:left="360"/>
        <w:jc w:val="both"/>
      </w:pPr>
    </w:p>
    <w:p w:rsidR="00DA576F" w:rsidRPr="00E03343" w:rsidRDefault="00273982" w:rsidP="00930D98">
      <w:pPr>
        <w:pStyle w:val="ListParagraph"/>
        <w:ind w:left="360"/>
        <w:jc w:val="both"/>
      </w:pPr>
      <w:r w:rsidRPr="00E03343">
        <w:t>The Board is supported by a</w:t>
      </w:r>
      <w:r w:rsidR="00DA576F" w:rsidRPr="00E03343">
        <w:t xml:space="preserve"> dedicated staff team </w:t>
      </w:r>
      <w:r w:rsidR="00462930" w:rsidRPr="00E03343">
        <w:t>based in Kilburn Square</w:t>
      </w:r>
      <w:r w:rsidR="001831A7" w:rsidRPr="00E03343">
        <w:t xml:space="preserve">, London, </w:t>
      </w:r>
      <w:r w:rsidR="001831A7" w:rsidRPr="00E03343">
        <w:rPr>
          <w:rFonts w:ascii="Calibri" w:eastAsia="Calibri" w:hAnsi="Calibri" w:cs="Calibri"/>
        </w:rPr>
        <w:t>NW6 6PT,</w:t>
      </w:r>
      <w:r w:rsidR="00462930" w:rsidRPr="00E03343">
        <w:t xml:space="preserve"> </w:t>
      </w:r>
      <w:r w:rsidRPr="00E03343">
        <w:t xml:space="preserve">who </w:t>
      </w:r>
      <w:r w:rsidR="00DA576F" w:rsidRPr="00E03343">
        <w:t>are employed to deliver the day to day work and services for the estate.</w:t>
      </w:r>
      <w:r w:rsidR="00530E45" w:rsidRPr="00E03343">
        <w:t xml:space="preserve"> The </w:t>
      </w:r>
      <w:r w:rsidR="00462930" w:rsidRPr="00E03343">
        <w:t>Estate</w:t>
      </w:r>
      <w:r w:rsidR="00530E45" w:rsidRPr="00E03343">
        <w:t xml:space="preserve"> </w:t>
      </w:r>
      <w:r w:rsidR="00462930" w:rsidRPr="00E03343">
        <w:t>M</w:t>
      </w:r>
      <w:r w:rsidR="00530E45" w:rsidRPr="00E03343">
        <w:t>anager reports monthly to the Board and is i</w:t>
      </w:r>
      <w:r w:rsidR="00C034EA" w:rsidRPr="00E03343">
        <w:t>n charge of a team comprising a</w:t>
      </w:r>
      <w:r w:rsidR="00530E45" w:rsidRPr="00E03343">
        <w:t xml:space="preserve"> Housing Officer, a Finance Officer, a Maintenance Officer, a Security and Front De</w:t>
      </w:r>
      <w:r w:rsidR="00C034EA" w:rsidRPr="00E03343">
        <w:t>sk Coordinator, plus three care</w:t>
      </w:r>
      <w:r w:rsidR="00530E45" w:rsidRPr="00E03343">
        <w:t>takers.</w:t>
      </w:r>
    </w:p>
    <w:p w:rsidR="00DA576F" w:rsidRPr="00E03343" w:rsidRDefault="00DA576F" w:rsidP="00930D98">
      <w:pPr>
        <w:pStyle w:val="ListParagraph"/>
        <w:ind w:left="360"/>
        <w:jc w:val="both"/>
      </w:pPr>
    </w:p>
    <w:p w:rsidR="00DA576F" w:rsidRPr="00E03343" w:rsidRDefault="00DA576F" w:rsidP="00930D98">
      <w:pPr>
        <w:pStyle w:val="ListParagraph"/>
        <w:ind w:left="360"/>
        <w:jc w:val="both"/>
      </w:pPr>
      <w:r w:rsidRPr="00E03343">
        <w:t>The business plan sets our analysis of the current situation, including what we have achi</w:t>
      </w:r>
      <w:r w:rsidR="002829DF" w:rsidRPr="00E03343">
        <w:t xml:space="preserve">eved so far </w:t>
      </w:r>
      <w:r w:rsidRPr="00E03343">
        <w:t>and where we feel there may be room for improvement. Our business pl</w:t>
      </w:r>
      <w:r w:rsidR="002829DF" w:rsidRPr="00E03343">
        <w:t xml:space="preserve">an also sets out our vision, mission, </w:t>
      </w:r>
      <w:r w:rsidRPr="00E03343">
        <w:t>values</w:t>
      </w:r>
      <w:r w:rsidR="002829DF" w:rsidRPr="00E03343">
        <w:t xml:space="preserve"> and strategic priorities for the next 5 years</w:t>
      </w:r>
      <w:r w:rsidRPr="00E03343">
        <w:t>. Th</w:t>
      </w:r>
      <w:r w:rsidR="002829DF" w:rsidRPr="00E03343">
        <w:t xml:space="preserve">e business plan </w:t>
      </w:r>
      <w:r w:rsidRPr="00E03343">
        <w:t>shows what we are aiming to achieve overall</w:t>
      </w:r>
      <w:r w:rsidR="002829DF" w:rsidRPr="00E03343">
        <w:t xml:space="preserve"> and </w:t>
      </w:r>
      <w:r w:rsidRPr="00E03343">
        <w:t>cover</w:t>
      </w:r>
      <w:r w:rsidR="002829DF" w:rsidRPr="00E03343">
        <w:t>s</w:t>
      </w:r>
      <w:r w:rsidRPr="00E03343">
        <w:t xml:space="preserve"> the services </w:t>
      </w:r>
      <w:r w:rsidR="002829DF" w:rsidRPr="00E03343">
        <w:t xml:space="preserve">that </w:t>
      </w:r>
      <w:r w:rsidRPr="00E03343">
        <w:t xml:space="preserve">we provide, by identifying issues relating to how we run the TMO, how we involve the community and the way we run our organisation. Finance is critical and we have clear objectives and strategies to ensure </w:t>
      </w:r>
      <w:r w:rsidR="002829DF" w:rsidRPr="00E03343">
        <w:t xml:space="preserve">that </w:t>
      </w:r>
      <w:r w:rsidRPr="00E03343">
        <w:t xml:space="preserve">we </w:t>
      </w:r>
      <w:r w:rsidR="002829DF" w:rsidRPr="00E03343">
        <w:t>provide a quality service in the most</w:t>
      </w:r>
      <w:r w:rsidRPr="00E03343">
        <w:t xml:space="preserve"> efficient</w:t>
      </w:r>
      <w:r w:rsidR="002829DF" w:rsidRPr="00E03343">
        <w:t xml:space="preserve"> way</w:t>
      </w:r>
      <w:r w:rsidRPr="00E03343">
        <w:t xml:space="preserve"> and </w:t>
      </w:r>
      <w:r w:rsidR="002829DF" w:rsidRPr="00E03343">
        <w:t xml:space="preserve">that we </w:t>
      </w:r>
      <w:r w:rsidRPr="00E03343">
        <w:t>manage our finances successfully. Finally, we have included a series of actions. These actions show how we will go about turning our vision into reality.</w:t>
      </w:r>
    </w:p>
    <w:p w:rsidR="00881E95" w:rsidRPr="00E03343" w:rsidRDefault="00881E95" w:rsidP="00930D98">
      <w:pPr>
        <w:pStyle w:val="ListParagraph"/>
        <w:ind w:left="360"/>
        <w:jc w:val="both"/>
      </w:pPr>
    </w:p>
    <w:p w:rsidR="007F6524" w:rsidRPr="00E03343" w:rsidRDefault="00BD4CAB" w:rsidP="00930D98">
      <w:pPr>
        <w:pStyle w:val="ListParagraph"/>
        <w:numPr>
          <w:ilvl w:val="1"/>
          <w:numId w:val="10"/>
        </w:numPr>
        <w:jc w:val="both"/>
      </w:pPr>
      <w:r w:rsidRPr="00E03343">
        <w:t>Abo</w:t>
      </w:r>
      <w:r w:rsidR="007F6524" w:rsidRPr="00E03343">
        <w:t>ut our community and neighbourhood</w:t>
      </w:r>
    </w:p>
    <w:p w:rsidR="00BD4CAB" w:rsidRPr="00E03343" w:rsidRDefault="00BD4CAB" w:rsidP="00930D98">
      <w:pPr>
        <w:pStyle w:val="ListParagraph"/>
        <w:ind w:left="360"/>
        <w:jc w:val="both"/>
      </w:pPr>
    </w:p>
    <w:p w:rsidR="00BD4CAB" w:rsidRPr="00E03343" w:rsidRDefault="00BD4CAB" w:rsidP="00930D98">
      <w:pPr>
        <w:pStyle w:val="ListParagraph"/>
        <w:ind w:left="360"/>
        <w:jc w:val="both"/>
      </w:pPr>
      <w:r w:rsidRPr="00E03343">
        <w:t>KSHC</w:t>
      </w:r>
      <w:r w:rsidR="00881E95" w:rsidRPr="00E03343">
        <w:t xml:space="preserve"> is located in the London Borough of Brent. The TMO is in the heart of Kilburn, a stone’s throw off the h</w:t>
      </w:r>
      <w:r w:rsidR="00350A0A" w:rsidRPr="00E03343">
        <w:t xml:space="preserve">igh street. The estate </w:t>
      </w:r>
      <w:r w:rsidR="00881E95" w:rsidRPr="00E03343">
        <w:t xml:space="preserve">is made up of a 17-storey tower block </w:t>
      </w:r>
      <w:r w:rsidR="002350D9" w:rsidRPr="00E03343">
        <w:t xml:space="preserve">built in the late 1960s </w:t>
      </w:r>
      <w:r w:rsidR="00881E95" w:rsidRPr="00E03343">
        <w:t>and four low-rise b</w:t>
      </w:r>
      <w:r w:rsidR="00350A0A" w:rsidRPr="00E03343">
        <w:t>uildings of 6 or 7 floors. There is</w:t>
      </w:r>
      <w:r w:rsidR="00881E95" w:rsidRPr="00E03343">
        <w:t xml:space="preserve"> a large pl</w:t>
      </w:r>
      <w:r w:rsidRPr="00E03343">
        <w:t xml:space="preserve">ayground area and </w:t>
      </w:r>
      <w:r w:rsidR="00350A0A" w:rsidRPr="00E03343">
        <w:t xml:space="preserve">a number of </w:t>
      </w:r>
      <w:r w:rsidRPr="00E03343">
        <w:t>gardens. Our c</w:t>
      </w:r>
      <w:r w:rsidR="00881E95" w:rsidRPr="00E03343">
        <w:t xml:space="preserve">ommunity is </w:t>
      </w:r>
      <w:r w:rsidR="005C701B" w:rsidRPr="00E03343">
        <w:t xml:space="preserve">very ethnically </w:t>
      </w:r>
      <w:r w:rsidR="00881E95" w:rsidRPr="00E03343">
        <w:t>diverse and there is a mixture of families, all generations and people from different cultural backgrounds.</w:t>
      </w:r>
    </w:p>
    <w:p w:rsidR="00BD4CAB" w:rsidRPr="00E03343" w:rsidRDefault="00BD4CAB" w:rsidP="00930D98">
      <w:pPr>
        <w:pStyle w:val="ListParagraph"/>
        <w:ind w:left="360"/>
        <w:jc w:val="both"/>
      </w:pPr>
    </w:p>
    <w:p w:rsidR="00BD4CAB" w:rsidRPr="00E03343" w:rsidRDefault="00BD4CAB" w:rsidP="00930D98">
      <w:pPr>
        <w:pStyle w:val="ListParagraph"/>
        <w:numPr>
          <w:ilvl w:val="1"/>
          <w:numId w:val="10"/>
        </w:numPr>
        <w:jc w:val="both"/>
      </w:pPr>
      <w:r w:rsidRPr="00E03343">
        <w:t>Background</w:t>
      </w:r>
    </w:p>
    <w:p w:rsidR="00BD4CAB" w:rsidRPr="00E03343" w:rsidRDefault="00BD4CAB" w:rsidP="00930D98">
      <w:pPr>
        <w:pStyle w:val="ListParagraph"/>
        <w:ind w:left="360"/>
        <w:jc w:val="both"/>
      </w:pPr>
    </w:p>
    <w:p w:rsidR="00BD4CAB" w:rsidRPr="00E03343" w:rsidRDefault="00BD4CAB" w:rsidP="00930D98">
      <w:pPr>
        <w:pStyle w:val="ListParagraph"/>
        <w:ind w:left="360"/>
        <w:jc w:val="both"/>
      </w:pPr>
      <w:r w:rsidRPr="00E03343">
        <w:t>KSHC</w:t>
      </w:r>
      <w:r w:rsidR="00881E95" w:rsidRPr="00E03343">
        <w:t xml:space="preserve"> was set up in 1992 with the help of Section 16 agent Catch. The TMO was founded by a group of re</w:t>
      </w:r>
      <w:r w:rsidR="00350A0A" w:rsidRPr="00E03343">
        <w:t>sidents who wanted to find a better solution to the</w:t>
      </w:r>
      <w:r w:rsidR="00881E95" w:rsidRPr="00E03343">
        <w:t xml:space="preserve"> </w:t>
      </w:r>
      <w:r w:rsidR="00350A0A" w:rsidRPr="00E03343">
        <w:t xml:space="preserve">increasing </w:t>
      </w:r>
      <w:r w:rsidR="00881E95" w:rsidRPr="00E03343">
        <w:t>housing and security issues</w:t>
      </w:r>
      <w:r w:rsidR="00350A0A" w:rsidRPr="00E03343">
        <w:t xml:space="preserve"> due also to the estate </w:t>
      </w:r>
      <w:r w:rsidR="00881E95" w:rsidRPr="00E03343">
        <w:t>being si</w:t>
      </w:r>
      <w:r w:rsidR="00350A0A" w:rsidRPr="00E03343">
        <w:t xml:space="preserve">tuated in close proximity to a </w:t>
      </w:r>
      <w:r w:rsidR="00881E95" w:rsidRPr="00E03343">
        <w:t>high street</w:t>
      </w:r>
      <w:r w:rsidR="00350A0A" w:rsidRPr="00E03343">
        <w:t xml:space="preserve"> very busy during the day and also at night. </w:t>
      </w:r>
      <w:r w:rsidR="00881E95" w:rsidRPr="00E03343">
        <w:t xml:space="preserve">The TMO improved the security on the estate with extra lighting and employing security staff, installing door entry systems, CCTV cameras and perimeter gates on the boundaries of the estate. The TMO created a large community room used for business, meetings and events. The </w:t>
      </w:r>
      <w:r w:rsidR="00350A0A" w:rsidRPr="00E03343">
        <w:t xml:space="preserve">green areas as well as the </w:t>
      </w:r>
      <w:r w:rsidR="00881E95" w:rsidRPr="00E03343">
        <w:t>play and football facilities were improved for the</w:t>
      </w:r>
      <w:bookmarkStart w:id="2" w:name="_Toc7"/>
      <w:r w:rsidR="00350A0A" w:rsidRPr="00E03343">
        <w:t xml:space="preserve"> benefit of the estate children.</w:t>
      </w:r>
    </w:p>
    <w:p w:rsidR="00BD4CAB" w:rsidRPr="00E03343" w:rsidRDefault="007F6524" w:rsidP="00930D98">
      <w:pPr>
        <w:pStyle w:val="ListParagraph"/>
        <w:numPr>
          <w:ilvl w:val="1"/>
          <w:numId w:val="10"/>
        </w:numPr>
        <w:jc w:val="both"/>
      </w:pPr>
      <w:r w:rsidRPr="00E03343">
        <w:t>Partners</w:t>
      </w:r>
      <w:r w:rsidR="00BD4CAB" w:rsidRPr="00E03343">
        <w:t xml:space="preserve"> and Stakeholders</w:t>
      </w:r>
      <w:bookmarkEnd w:id="2"/>
    </w:p>
    <w:p w:rsidR="00BD4CAB" w:rsidRPr="00E03343" w:rsidRDefault="00BD4CAB" w:rsidP="00930D98">
      <w:pPr>
        <w:pStyle w:val="ListParagraph"/>
        <w:ind w:left="360"/>
        <w:jc w:val="both"/>
      </w:pPr>
    </w:p>
    <w:p w:rsidR="00350A0A" w:rsidRPr="00E03343" w:rsidRDefault="00BD4CAB" w:rsidP="00930D98">
      <w:pPr>
        <w:pStyle w:val="ListParagraph"/>
        <w:ind w:left="360"/>
        <w:jc w:val="both"/>
      </w:pPr>
      <w:r w:rsidRPr="00E03343">
        <w:t>B</w:t>
      </w:r>
      <w:r w:rsidR="00881E95" w:rsidRPr="00E03343">
        <w:t xml:space="preserve">rent Council set up an Arm Length Management Organisation </w:t>
      </w:r>
      <w:r w:rsidRPr="00E03343">
        <w:t>(ALMO),</w:t>
      </w:r>
      <w:r w:rsidR="00881E95" w:rsidRPr="00E03343">
        <w:t xml:space="preserve"> Brent Housing Partnership (BHP)</w:t>
      </w:r>
      <w:r w:rsidRPr="00E03343">
        <w:t>,</w:t>
      </w:r>
      <w:r w:rsidR="00881E95" w:rsidRPr="00E03343">
        <w:t xml:space="preserve"> in 2002. BHP is responsible for the client monitoring aspects of the two TMOs that are currently in operation in Brent (Kilburn Square Housing Co-op and Watling Gardens). The TMOs represent a very small proportion of properties in Brent that have a designated team that supports and monitors the functions of the TMOs. The TMO and BHP have a good working relationship.</w:t>
      </w:r>
    </w:p>
    <w:p w:rsidR="00350A0A" w:rsidRPr="00E03343" w:rsidRDefault="00350A0A" w:rsidP="00930D98">
      <w:pPr>
        <w:pStyle w:val="ListParagraph"/>
        <w:ind w:left="360"/>
        <w:jc w:val="both"/>
      </w:pPr>
    </w:p>
    <w:p w:rsidR="00BD4CAB" w:rsidRPr="00E03343" w:rsidRDefault="007F6524" w:rsidP="00930D98">
      <w:pPr>
        <w:pStyle w:val="ListParagraph"/>
        <w:ind w:left="360"/>
        <w:jc w:val="both"/>
      </w:pPr>
      <w:r w:rsidRPr="00E03343">
        <w:t xml:space="preserve">The other key stakeholders are the estate residents, </w:t>
      </w:r>
      <w:r w:rsidR="00350A0A" w:rsidRPr="00E03343">
        <w:t xml:space="preserve">both </w:t>
      </w:r>
      <w:r w:rsidRPr="00E03343">
        <w:t>tenants and leaseholders.</w:t>
      </w:r>
    </w:p>
    <w:p w:rsidR="00BD4CAB" w:rsidRPr="00E03343" w:rsidRDefault="00BD4CAB" w:rsidP="00930D98">
      <w:pPr>
        <w:pStyle w:val="ListParagraph"/>
        <w:ind w:left="360"/>
        <w:jc w:val="both"/>
      </w:pPr>
    </w:p>
    <w:p w:rsidR="00BD4CAB" w:rsidRPr="00E03343" w:rsidRDefault="00BD4CAB" w:rsidP="00930D98">
      <w:pPr>
        <w:pStyle w:val="ListParagraph"/>
        <w:numPr>
          <w:ilvl w:val="1"/>
          <w:numId w:val="10"/>
        </w:numPr>
        <w:jc w:val="both"/>
      </w:pPr>
      <w:r w:rsidRPr="00E03343">
        <w:t>Services provided</w:t>
      </w:r>
    </w:p>
    <w:p w:rsidR="00BD4CAB" w:rsidRPr="00E03343" w:rsidRDefault="00BD4CAB" w:rsidP="00930D98">
      <w:pPr>
        <w:pStyle w:val="ListParagraph"/>
        <w:ind w:left="360"/>
        <w:jc w:val="both"/>
      </w:pPr>
    </w:p>
    <w:p w:rsidR="00DA576F" w:rsidRPr="00E03343" w:rsidRDefault="005D72DA" w:rsidP="00930D98">
      <w:pPr>
        <w:pStyle w:val="ListParagraph"/>
        <w:ind w:left="360"/>
        <w:jc w:val="both"/>
      </w:pPr>
      <w:r w:rsidRPr="00E03343">
        <w:t xml:space="preserve">The services provided by the </w:t>
      </w:r>
      <w:r w:rsidR="00881E95" w:rsidRPr="00E03343">
        <w:t xml:space="preserve">TMO </w:t>
      </w:r>
      <w:r w:rsidRPr="00E03343">
        <w:t>are defined in th</w:t>
      </w:r>
      <w:r w:rsidR="00350A0A" w:rsidRPr="00E03343">
        <w:t>e MMA</w:t>
      </w:r>
      <w:r w:rsidRPr="00E03343">
        <w:t xml:space="preserve"> with the London Borough of Brent, which sets </w:t>
      </w:r>
      <w:r w:rsidR="00DA576F" w:rsidRPr="00E03343">
        <w:t>out the TMO’s responsibilities and those services which the Council has retained responsibility for.</w:t>
      </w:r>
    </w:p>
    <w:p w:rsidR="00DA576F" w:rsidRPr="00E03343" w:rsidRDefault="00DA576F" w:rsidP="00930D98">
      <w:pPr>
        <w:pStyle w:val="ListParagraph"/>
        <w:ind w:left="360"/>
        <w:jc w:val="both"/>
      </w:pPr>
    </w:p>
    <w:p w:rsidR="00BD4CAB" w:rsidRPr="00E03343" w:rsidRDefault="00DA576F" w:rsidP="00930D98">
      <w:pPr>
        <w:pStyle w:val="ListParagraph"/>
        <w:ind w:left="360"/>
        <w:jc w:val="both"/>
      </w:pPr>
      <w:r w:rsidRPr="00E03343">
        <w:t xml:space="preserve">The TMO </w:t>
      </w:r>
      <w:r w:rsidR="00881E95" w:rsidRPr="00E03343">
        <w:t>manages responsive repairs, voids, housing management services, rent arrears collection, cleaning, grounds maintenance, trees, security (gates, door entry system and CCTV) and community development.</w:t>
      </w:r>
    </w:p>
    <w:p w:rsidR="00BD4CAB" w:rsidRPr="00E03343" w:rsidRDefault="00BD4CAB" w:rsidP="00930D98">
      <w:pPr>
        <w:pStyle w:val="ListParagraph"/>
        <w:ind w:left="360"/>
        <w:jc w:val="both"/>
      </w:pPr>
    </w:p>
    <w:p w:rsidR="00BD4CAB" w:rsidRPr="00E03343" w:rsidRDefault="00881E95" w:rsidP="00930D98">
      <w:pPr>
        <w:pStyle w:val="ListParagraph"/>
        <w:ind w:left="360"/>
        <w:jc w:val="both"/>
      </w:pPr>
      <w:r w:rsidRPr="00E03343">
        <w:t>The Council retained services are heating and hot water (boilers), gas servicing, lifts, roofs, external building structure, major voids, main drainage, planned cyclical maintenance and major works.</w:t>
      </w:r>
    </w:p>
    <w:p w:rsidR="00BD4CAB" w:rsidRPr="00E03343" w:rsidRDefault="00BD4CAB" w:rsidP="00930D98">
      <w:pPr>
        <w:pStyle w:val="ListParagraph"/>
        <w:ind w:left="360"/>
        <w:jc w:val="both"/>
      </w:pPr>
    </w:p>
    <w:p w:rsidR="00325056" w:rsidRPr="00E03343" w:rsidRDefault="00881E95" w:rsidP="00930D98">
      <w:pPr>
        <w:pStyle w:val="ListParagraph"/>
        <w:ind w:left="360"/>
        <w:jc w:val="both"/>
      </w:pPr>
      <w:r w:rsidRPr="00E03343">
        <w:t>The TMO manages possession proceedings using the Council’s legal services to undertake court action.</w:t>
      </w:r>
      <w:r w:rsidR="00BD4CAB" w:rsidRPr="00E03343">
        <w:t xml:space="preserve"> </w:t>
      </w:r>
      <w:r w:rsidRPr="00E03343">
        <w:t>All vacant properties are offered to people on Brent Council’s housing and transfer lists. The TMO operates an internal transfer list. In order for residents to be put on the internal transfer list they have to have to complete the Council’s transfer application.</w:t>
      </w:r>
      <w:bookmarkStart w:id="3" w:name="_Toc9"/>
    </w:p>
    <w:p w:rsidR="00325056" w:rsidRPr="00E03343" w:rsidRDefault="00325056" w:rsidP="00930D98">
      <w:pPr>
        <w:pStyle w:val="ListParagraph"/>
        <w:ind w:left="360"/>
        <w:jc w:val="both"/>
      </w:pPr>
    </w:p>
    <w:p w:rsidR="00325056" w:rsidRPr="00E03343" w:rsidRDefault="00BD4CAB" w:rsidP="00930D98">
      <w:pPr>
        <w:pStyle w:val="ListParagraph"/>
        <w:numPr>
          <w:ilvl w:val="1"/>
          <w:numId w:val="10"/>
        </w:numPr>
        <w:jc w:val="both"/>
      </w:pPr>
      <w:r w:rsidRPr="00E03343">
        <w:t>Successes to date and key plans for the future</w:t>
      </w:r>
    </w:p>
    <w:p w:rsidR="00325056" w:rsidRPr="00E03343" w:rsidRDefault="00325056" w:rsidP="00930D98">
      <w:pPr>
        <w:pStyle w:val="ListParagraph"/>
        <w:ind w:left="360"/>
        <w:jc w:val="both"/>
      </w:pPr>
    </w:p>
    <w:p w:rsidR="00BD4CAB" w:rsidRPr="00E03343" w:rsidRDefault="003D658F" w:rsidP="00930D98">
      <w:pPr>
        <w:pStyle w:val="ListParagraph"/>
        <w:ind w:left="360"/>
        <w:jc w:val="both"/>
      </w:pPr>
      <w:r w:rsidRPr="00E03343">
        <w:t>B</w:t>
      </w:r>
      <w:r w:rsidR="00881E95" w:rsidRPr="00E03343">
        <w:t xml:space="preserve">eing a TMO </w:t>
      </w:r>
      <w:r w:rsidRPr="00E03343">
        <w:t xml:space="preserve">has made </w:t>
      </w:r>
      <w:r w:rsidR="00881E95" w:rsidRPr="00E03343">
        <w:t xml:space="preserve">a </w:t>
      </w:r>
      <w:r w:rsidRPr="00E03343">
        <w:t xml:space="preserve">real </w:t>
      </w:r>
      <w:r w:rsidR="00881E95" w:rsidRPr="00E03343">
        <w:t>difference</w:t>
      </w:r>
      <w:bookmarkEnd w:id="3"/>
      <w:r w:rsidRPr="00E03343">
        <w:t xml:space="preserve"> for </w:t>
      </w:r>
      <w:r w:rsidR="00325056" w:rsidRPr="00E03343">
        <w:t>the tenants and leaseholders of Kilburn Square</w:t>
      </w:r>
      <w:r w:rsidRPr="00E03343">
        <w:t xml:space="preserve"> and has significantly improved the standard of the services provided to the residents and their quality of life.</w:t>
      </w:r>
    </w:p>
    <w:p w:rsidR="00325056" w:rsidRPr="00E03343" w:rsidRDefault="00325056" w:rsidP="00930D98">
      <w:pPr>
        <w:pStyle w:val="ListParagraph"/>
        <w:ind w:left="360"/>
        <w:jc w:val="both"/>
      </w:pPr>
    </w:p>
    <w:p w:rsidR="00325056" w:rsidRPr="00E03343" w:rsidRDefault="003043F5" w:rsidP="00930D98">
      <w:pPr>
        <w:pStyle w:val="ListParagraph"/>
        <w:ind w:left="360"/>
        <w:jc w:val="both"/>
      </w:pPr>
      <w:r w:rsidRPr="00E03343">
        <w:t xml:space="preserve">There is an on-site office for residents and contractors. </w:t>
      </w:r>
      <w:r w:rsidR="00325056" w:rsidRPr="00E03343">
        <w:t>Having its own staff who know the people</w:t>
      </w:r>
      <w:r w:rsidR="00881E95" w:rsidRPr="00E03343">
        <w:t xml:space="preserve"> on the estat</w:t>
      </w:r>
      <w:r w:rsidR="00325056" w:rsidRPr="00E03343">
        <w:t>e, including vulnerable tenants, has been key</w:t>
      </w:r>
      <w:r w:rsidRPr="00E03343">
        <w:t xml:space="preserve"> for the TMO</w:t>
      </w:r>
      <w:r w:rsidR="00325056" w:rsidRPr="00E03343">
        <w:t>. Residents</w:t>
      </w:r>
      <w:r w:rsidR="00881E95" w:rsidRPr="00E03343">
        <w:t xml:space="preserve"> receive speedy repairs by </w:t>
      </w:r>
      <w:r w:rsidRPr="00E03343">
        <w:t xml:space="preserve">the </w:t>
      </w:r>
      <w:r w:rsidR="00881E95" w:rsidRPr="00E03343">
        <w:t>in-house Maintenance Officer</w:t>
      </w:r>
      <w:r w:rsidRPr="00E03343">
        <w:t xml:space="preserve"> who, over the years, has gained a clear understanding of all the issues related to the building complex</w:t>
      </w:r>
      <w:r w:rsidR="00881E95" w:rsidRPr="00E03343">
        <w:t xml:space="preserve">, </w:t>
      </w:r>
      <w:r w:rsidR="00350A0A" w:rsidRPr="00E03343">
        <w:t>leading</w:t>
      </w:r>
      <w:r w:rsidR="00586B28" w:rsidRPr="00E03343">
        <w:t xml:space="preserve"> to good value for money and also to better </w:t>
      </w:r>
      <w:r w:rsidR="00350A0A" w:rsidRPr="00E03343">
        <w:t>Key Performance Indicators (KPIs)</w:t>
      </w:r>
      <w:r w:rsidR="00586B28" w:rsidRPr="00E03343">
        <w:t xml:space="preserve"> </w:t>
      </w:r>
      <w:r w:rsidR="00910655" w:rsidRPr="00E03343">
        <w:t xml:space="preserve">in areas such as rent collection, responsive repairs and complaints handling </w:t>
      </w:r>
      <w:r w:rsidR="00586B28" w:rsidRPr="00E03343">
        <w:t>compared to the properties directly managed by the Council.</w:t>
      </w:r>
    </w:p>
    <w:p w:rsidR="00325056" w:rsidRPr="00E03343" w:rsidRDefault="00325056" w:rsidP="00930D98">
      <w:pPr>
        <w:pStyle w:val="ListParagraph"/>
        <w:ind w:left="360"/>
        <w:jc w:val="both"/>
      </w:pPr>
    </w:p>
    <w:p w:rsidR="003043F5" w:rsidRPr="00E03343" w:rsidRDefault="00881E95" w:rsidP="00930D98">
      <w:pPr>
        <w:pStyle w:val="ListParagraph"/>
        <w:ind w:left="360"/>
        <w:jc w:val="both"/>
      </w:pPr>
      <w:r w:rsidRPr="00E03343">
        <w:t xml:space="preserve">Residents </w:t>
      </w:r>
      <w:r w:rsidR="003043F5" w:rsidRPr="00E03343">
        <w:t xml:space="preserve">know that they </w:t>
      </w:r>
      <w:r w:rsidRPr="00E03343">
        <w:t>have</w:t>
      </w:r>
      <w:r w:rsidR="003043F5" w:rsidRPr="00E03343">
        <w:t xml:space="preserve"> the option to join the Board and</w:t>
      </w:r>
      <w:r w:rsidRPr="00E03343">
        <w:t xml:space="preserve"> </w:t>
      </w:r>
      <w:r w:rsidR="003043F5" w:rsidRPr="00E03343">
        <w:t>have their say in how the estate is run</w:t>
      </w:r>
      <w:r w:rsidRPr="00E03343">
        <w:t>.</w:t>
      </w:r>
      <w:r w:rsidR="003043F5" w:rsidRPr="00E03343">
        <w:t xml:space="preserve"> </w:t>
      </w:r>
      <w:r w:rsidRPr="00E03343">
        <w:t>Holding estate functions and activities help bring the community together.</w:t>
      </w:r>
      <w:r w:rsidR="003043F5" w:rsidRPr="00E03343">
        <w:t xml:space="preserve"> </w:t>
      </w:r>
      <w:r w:rsidR="00DA576F" w:rsidRPr="00E03343">
        <w:t>There are a number of social activities provided by the Co-op such as coach trips, BBQs, table top sales, special events and weekly bingo.</w:t>
      </w:r>
      <w:r w:rsidR="003043F5" w:rsidRPr="00E03343">
        <w:t xml:space="preserve"> As a result of this enhanced sense of community, Anti-Social Behaviour has been greatly reduced with positive externalities to the broader neighbourhood.</w:t>
      </w:r>
    </w:p>
    <w:p w:rsidR="00DB25F2" w:rsidRPr="00E03343" w:rsidRDefault="00DB25F2" w:rsidP="00930D98">
      <w:pPr>
        <w:pStyle w:val="ListParagraph"/>
        <w:ind w:left="360"/>
        <w:jc w:val="both"/>
      </w:pPr>
    </w:p>
    <w:p w:rsidR="00DB25F2" w:rsidRDefault="00DB25F2" w:rsidP="00930D98">
      <w:pPr>
        <w:pStyle w:val="ListParagraph"/>
        <w:ind w:left="360"/>
        <w:jc w:val="both"/>
        <w:rPr>
          <w:rFonts w:cstheme="minorHAnsi"/>
        </w:rPr>
      </w:pPr>
      <w:r w:rsidRPr="00E03343">
        <w:rPr>
          <w:rFonts w:cstheme="minorHAnsi"/>
        </w:rPr>
        <w:t xml:space="preserve">The TMO has also reflected on its </w:t>
      </w:r>
      <w:r w:rsidR="00AB7BFF">
        <w:rPr>
          <w:rFonts w:cstheme="minorHAnsi"/>
        </w:rPr>
        <w:t>Strengths, Weaknesses, Opportunities and T</w:t>
      </w:r>
      <w:r w:rsidRPr="00E03343">
        <w:rPr>
          <w:rFonts w:cstheme="minorHAnsi"/>
        </w:rPr>
        <w:t xml:space="preserve">hreats </w:t>
      </w:r>
      <w:r w:rsidR="00AB7BFF">
        <w:rPr>
          <w:rFonts w:cstheme="minorHAnsi"/>
        </w:rPr>
        <w:t xml:space="preserve">(SWOT) </w:t>
      </w:r>
      <w:r w:rsidRPr="00E03343">
        <w:rPr>
          <w:rFonts w:cstheme="minorHAnsi"/>
        </w:rPr>
        <w:t>fa</w:t>
      </w:r>
      <w:r w:rsidR="00AB7BFF">
        <w:rPr>
          <w:rFonts w:cstheme="minorHAnsi"/>
        </w:rPr>
        <w:t>cing the organisation. This SWOT</w:t>
      </w:r>
      <w:r w:rsidRPr="00E03343">
        <w:rPr>
          <w:rFonts w:cstheme="minorHAnsi"/>
        </w:rPr>
        <w:t xml:space="preserve"> analysis has been used to assess the TMO’s objectives, strategies and risks.</w:t>
      </w:r>
    </w:p>
    <w:p w:rsidR="00AB7BFF" w:rsidRPr="00E03343" w:rsidRDefault="00AB7BFF" w:rsidP="00930D98">
      <w:pPr>
        <w:pStyle w:val="ListParagraph"/>
        <w:ind w:left="360"/>
        <w:jc w:val="both"/>
        <w:rPr>
          <w:rFonts w:cstheme="minorHAnsi"/>
        </w:rPr>
      </w:pPr>
    </w:p>
    <w:tbl>
      <w:tblPr>
        <w:tblStyle w:val="TableGrid"/>
        <w:tblW w:w="0" w:type="auto"/>
        <w:tblInd w:w="360" w:type="dxa"/>
        <w:tblLook w:val="04A0" w:firstRow="1" w:lastRow="0" w:firstColumn="1" w:lastColumn="0" w:noHBand="0" w:noVBand="1"/>
      </w:tblPr>
      <w:tblGrid>
        <w:gridCol w:w="4634"/>
        <w:gridCol w:w="4634"/>
      </w:tblGrid>
      <w:tr w:rsidR="00DB25F2" w:rsidRPr="00E03343" w:rsidTr="00DB25F2">
        <w:tc>
          <w:tcPr>
            <w:tcW w:w="4634" w:type="dxa"/>
          </w:tcPr>
          <w:p w:rsidR="00077EA6" w:rsidRDefault="00077EA6" w:rsidP="00077EA6">
            <w:pPr>
              <w:pStyle w:val="Default"/>
              <w:jc w:val="center"/>
              <w:rPr>
                <w:rFonts w:asciiTheme="minorHAnsi" w:hAnsiTheme="minorHAnsi" w:cstheme="minorHAnsi"/>
                <w:b/>
                <w:color w:val="auto"/>
                <w:sz w:val="22"/>
                <w:szCs w:val="22"/>
              </w:rPr>
            </w:pPr>
          </w:p>
          <w:p w:rsidR="00DB25F2" w:rsidRDefault="00DB25F2" w:rsidP="00077EA6">
            <w:pPr>
              <w:pStyle w:val="Default"/>
              <w:jc w:val="center"/>
              <w:rPr>
                <w:rFonts w:asciiTheme="minorHAnsi" w:hAnsiTheme="minorHAnsi" w:cstheme="minorHAnsi"/>
                <w:b/>
                <w:color w:val="auto"/>
                <w:sz w:val="22"/>
                <w:szCs w:val="22"/>
              </w:rPr>
            </w:pPr>
            <w:r w:rsidRPr="00E03343">
              <w:rPr>
                <w:rFonts w:asciiTheme="minorHAnsi" w:hAnsiTheme="minorHAnsi" w:cstheme="minorHAnsi"/>
                <w:b/>
                <w:color w:val="auto"/>
                <w:sz w:val="22"/>
                <w:szCs w:val="22"/>
              </w:rPr>
              <w:t>Strengths</w:t>
            </w:r>
          </w:p>
          <w:p w:rsidR="00077EA6" w:rsidRPr="00E03343" w:rsidRDefault="00077EA6" w:rsidP="00077EA6">
            <w:pPr>
              <w:pStyle w:val="Default"/>
              <w:jc w:val="center"/>
              <w:rPr>
                <w:rFonts w:asciiTheme="minorHAnsi" w:hAnsiTheme="minorHAnsi" w:cstheme="minorHAnsi"/>
                <w:b/>
                <w:color w:val="auto"/>
                <w:sz w:val="22"/>
                <w:szCs w:val="22"/>
              </w:rPr>
            </w:pPr>
          </w:p>
        </w:tc>
        <w:tc>
          <w:tcPr>
            <w:tcW w:w="4634" w:type="dxa"/>
          </w:tcPr>
          <w:p w:rsidR="00077EA6" w:rsidRDefault="00077EA6" w:rsidP="00077EA6">
            <w:pPr>
              <w:pStyle w:val="Default"/>
              <w:jc w:val="center"/>
              <w:rPr>
                <w:rFonts w:asciiTheme="minorHAnsi" w:hAnsiTheme="minorHAnsi" w:cstheme="minorHAnsi"/>
                <w:b/>
                <w:color w:val="auto"/>
                <w:sz w:val="22"/>
                <w:szCs w:val="22"/>
              </w:rPr>
            </w:pPr>
          </w:p>
          <w:p w:rsidR="00077EA6" w:rsidRPr="00E03343" w:rsidRDefault="00077EA6" w:rsidP="00077EA6">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Weaknesses</w:t>
            </w:r>
          </w:p>
        </w:tc>
      </w:tr>
      <w:tr w:rsidR="00DB25F2" w:rsidRPr="00E03343" w:rsidTr="00DB25F2">
        <w:tc>
          <w:tcPr>
            <w:tcW w:w="4634" w:type="dxa"/>
          </w:tcPr>
          <w:p w:rsidR="00CC6778" w:rsidRDefault="00CC6778" w:rsidP="00930D98">
            <w:pPr>
              <w:pStyle w:val="Default"/>
              <w:jc w:val="both"/>
              <w:rPr>
                <w:rFonts w:asciiTheme="minorHAnsi" w:hAnsiTheme="minorHAnsi" w:cstheme="minorHAnsi"/>
                <w:color w:val="auto"/>
                <w:sz w:val="22"/>
                <w:szCs w:val="22"/>
              </w:rPr>
            </w:pPr>
          </w:p>
          <w:p w:rsidR="00DB25F2" w:rsidRDefault="00DB25F2"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Committed Management Board and experienced operational team.</w:t>
            </w:r>
          </w:p>
          <w:p w:rsidR="00077EA6" w:rsidRPr="00E03343" w:rsidRDefault="00077EA6" w:rsidP="00930D98">
            <w:pPr>
              <w:pStyle w:val="Default"/>
              <w:jc w:val="both"/>
              <w:rPr>
                <w:rFonts w:asciiTheme="minorHAnsi" w:hAnsiTheme="minorHAnsi" w:cstheme="minorHAnsi"/>
                <w:color w:val="auto"/>
                <w:sz w:val="22"/>
                <w:szCs w:val="22"/>
              </w:rPr>
            </w:pPr>
          </w:p>
          <w:p w:rsidR="00DB25F2" w:rsidRPr="00E03343" w:rsidRDefault="00DB25F2"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Prudent financial management and monitoring systems in place.</w:t>
            </w:r>
          </w:p>
          <w:p w:rsidR="00077EA6" w:rsidRDefault="00077EA6" w:rsidP="00930D98">
            <w:pPr>
              <w:pStyle w:val="Default"/>
              <w:jc w:val="both"/>
              <w:rPr>
                <w:rFonts w:asciiTheme="minorHAnsi" w:hAnsiTheme="minorHAnsi" w:cstheme="minorHAnsi"/>
                <w:color w:val="auto"/>
                <w:sz w:val="22"/>
                <w:szCs w:val="22"/>
              </w:rPr>
            </w:pPr>
          </w:p>
          <w:p w:rsidR="00DB25F2" w:rsidRPr="00E03343" w:rsidRDefault="00DB25F2"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Strong service delivery performance.</w:t>
            </w:r>
          </w:p>
          <w:p w:rsidR="00077EA6" w:rsidRDefault="00077EA6" w:rsidP="00930D98">
            <w:pPr>
              <w:pStyle w:val="Default"/>
              <w:jc w:val="both"/>
              <w:rPr>
                <w:rFonts w:asciiTheme="minorHAnsi" w:hAnsiTheme="minorHAnsi" w:cstheme="minorHAnsi"/>
                <w:color w:val="auto"/>
                <w:sz w:val="22"/>
                <w:szCs w:val="22"/>
              </w:rPr>
            </w:pPr>
          </w:p>
          <w:p w:rsidR="00DB25F2" w:rsidRPr="00E03343" w:rsidRDefault="00DB25F2"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Good programme of community activity.</w:t>
            </w:r>
          </w:p>
          <w:p w:rsidR="00077EA6" w:rsidRDefault="00077EA6" w:rsidP="00930D98">
            <w:pPr>
              <w:pStyle w:val="Default"/>
              <w:jc w:val="both"/>
              <w:rPr>
                <w:rFonts w:asciiTheme="minorHAnsi" w:hAnsiTheme="minorHAnsi" w:cstheme="minorHAnsi"/>
                <w:color w:val="auto"/>
                <w:sz w:val="22"/>
                <w:szCs w:val="22"/>
              </w:rPr>
            </w:pPr>
          </w:p>
          <w:p w:rsidR="00DB25F2" w:rsidRPr="00E03343" w:rsidRDefault="00DB25F2"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Good knowledge of our properties and our community.</w:t>
            </w:r>
          </w:p>
          <w:p w:rsidR="00077EA6" w:rsidRDefault="00077EA6" w:rsidP="00930D98">
            <w:pPr>
              <w:pStyle w:val="Default"/>
              <w:jc w:val="both"/>
              <w:rPr>
                <w:rFonts w:asciiTheme="minorHAnsi" w:hAnsiTheme="minorHAnsi" w:cstheme="minorHAnsi"/>
                <w:color w:val="auto"/>
                <w:sz w:val="22"/>
                <w:szCs w:val="22"/>
              </w:rPr>
            </w:pPr>
          </w:p>
          <w:p w:rsidR="00DB25F2" w:rsidRPr="00E03343" w:rsidRDefault="00DB25F2"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Good track record of delivering services and projects on the estate.</w:t>
            </w:r>
          </w:p>
          <w:p w:rsidR="00077EA6" w:rsidRDefault="00077EA6" w:rsidP="00930D98">
            <w:pPr>
              <w:pStyle w:val="Default"/>
              <w:jc w:val="both"/>
              <w:rPr>
                <w:rFonts w:asciiTheme="minorHAnsi" w:hAnsiTheme="minorHAnsi" w:cstheme="minorHAnsi"/>
                <w:color w:val="auto"/>
                <w:sz w:val="22"/>
                <w:szCs w:val="22"/>
              </w:rPr>
            </w:pPr>
          </w:p>
          <w:p w:rsidR="00DB25F2" w:rsidRPr="00E03343" w:rsidRDefault="00DB25F2"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 xml:space="preserve">Good relationship with key stakeholders. </w:t>
            </w:r>
          </w:p>
          <w:p w:rsidR="00DB25F2" w:rsidRPr="00E03343" w:rsidRDefault="00DB25F2" w:rsidP="00930D98">
            <w:pPr>
              <w:pStyle w:val="Default"/>
              <w:jc w:val="both"/>
              <w:rPr>
                <w:rFonts w:asciiTheme="minorHAnsi" w:hAnsiTheme="minorHAnsi" w:cstheme="minorHAnsi"/>
                <w:color w:val="auto"/>
                <w:sz w:val="22"/>
                <w:szCs w:val="22"/>
              </w:rPr>
            </w:pPr>
          </w:p>
        </w:tc>
        <w:tc>
          <w:tcPr>
            <w:tcW w:w="4634" w:type="dxa"/>
          </w:tcPr>
          <w:p w:rsidR="00CC6778" w:rsidRDefault="00CC6778" w:rsidP="00930D98">
            <w:pPr>
              <w:pStyle w:val="Default"/>
              <w:jc w:val="both"/>
              <w:rPr>
                <w:rFonts w:asciiTheme="minorHAnsi" w:hAnsiTheme="minorHAnsi" w:cstheme="minorHAnsi"/>
                <w:color w:val="auto"/>
                <w:sz w:val="22"/>
                <w:szCs w:val="22"/>
              </w:rPr>
            </w:pPr>
          </w:p>
          <w:p w:rsidR="00DB25F2" w:rsidRPr="00E03343" w:rsidRDefault="00DB25F2"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 xml:space="preserve">A relatively small organisation, with possible diseconomies of scale. </w:t>
            </w:r>
          </w:p>
          <w:p w:rsidR="00077EA6" w:rsidRDefault="00077EA6" w:rsidP="00930D98">
            <w:pPr>
              <w:pStyle w:val="Default"/>
              <w:jc w:val="both"/>
              <w:rPr>
                <w:rFonts w:asciiTheme="minorHAnsi" w:hAnsiTheme="minorHAnsi" w:cstheme="minorHAnsi"/>
                <w:color w:val="auto"/>
                <w:sz w:val="22"/>
                <w:szCs w:val="22"/>
              </w:rPr>
            </w:pPr>
          </w:p>
          <w:p w:rsidR="00DF6E1E" w:rsidRPr="002B493B" w:rsidRDefault="00DF6E1E" w:rsidP="00930D98">
            <w:pPr>
              <w:pStyle w:val="Default"/>
              <w:jc w:val="both"/>
              <w:rPr>
                <w:rFonts w:asciiTheme="minorHAnsi" w:hAnsiTheme="minorHAnsi" w:cstheme="minorHAnsi"/>
                <w:color w:val="auto"/>
                <w:sz w:val="22"/>
                <w:szCs w:val="22"/>
              </w:rPr>
            </w:pPr>
            <w:r w:rsidRPr="002B493B">
              <w:rPr>
                <w:rFonts w:asciiTheme="minorHAnsi" w:hAnsiTheme="minorHAnsi" w:cstheme="minorHAnsi"/>
                <w:color w:val="auto"/>
                <w:sz w:val="22"/>
                <w:szCs w:val="22"/>
              </w:rPr>
              <w:t>Board not having the right skills to operate the TMO, comprehensive training programme to be developed.</w:t>
            </w:r>
          </w:p>
          <w:p w:rsidR="00DF6E1E" w:rsidRPr="002B493B" w:rsidRDefault="00DF6E1E" w:rsidP="00930D98">
            <w:pPr>
              <w:pStyle w:val="Default"/>
              <w:jc w:val="both"/>
              <w:rPr>
                <w:rFonts w:asciiTheme="minorHAnsi" w:hAnsiTheme="minorHAnsi" w:cstheme="minorHAnsi"/>
                <w:color w:val="auto"/>
                <w:sz w:val="22"/>
                <w:szCs w:val="22"/>
              </w:rPr>
            </w:pPr>
          </w:p>
          <w:p w:rsidR="00DF6E1E" w:rsidRPr="002B493B" w:rsidRDefault="00DF6E1E" w:rsidP="00930D98">
            <w:pPr>
              <w:pStyle w:val="Default"/>
              <w:jc w:val="both"/>
              <w:rPr>
                <w:rFonts w:asciiTheme="minorHAnsi" w:hAnsiTheme="minorHAnsi" w:cstheme="minorHAnsi"/>
                <w:color w:val="auto"/>
                <w:sz w:val="22"/>
                <w:szCs w:val="22"/>
              </w:rPr>
            </w:pPr>
            <w:r w:rsidRPr="002B493B">
              <w:rPr>
                <w:rFonts w:asciiTheme="minorHAnsi" w:hAnsiTheme="minorHAnsi" w:cstheme="minorHAnsi"/>
                <w:color w:val="auto"/>
                <w:sz w:val="22"/>
                <w:szCs w:val="22"/>
              </w:rPr>
              <w:t>Board lack of understanding around Governance and the MMA.</w:t>
            </w:r>
          </w:p>
          <w:p w:rsidR="00DF6E1E" w:rsidRPr="002B493B" w:rsidRDefault="00DF6E1E" w:rsidP="00930D98">
            <w:pPr>
              <w:pStyle w:val="Default"/>
              <w:jc w:val="both"/>
              <w:rPr>
                <w:rFonts w:asciiTheme="minorHAnsi" w:hAnsiTheme="minorHAnsi" w:cstheme="minorHAnsi"/>
                <w:color w:val="auto"/>
                <w:sz w:val="22"/>
                <w:szCs w:val="22"/>
              </w:rPr>
            </w:pPr>
          </w:p>
          <w:p w:rsidR="00DF6E1E" w:rsidRPr="002B493B" w:rsidRDefault="00DF6E1E" w:rsidP="00930D98">
            <w:pPr>
              <w:pStyle w:val="Default"/>
              <w:jc w:val="both"/>
              <w:rPr>
                <w:rFonts w:asciiTheme="minorHAnsi" w:hAnsiTheme="minorHAnsi" w:cstheme="minorHAnsi"/>
                <w:color w:val="auto"/>
                <w:sz w:val="22"/>
                <w:szCs w:val="22"/>
              </w:rPr>
            </w:pPr>
            <w:r w:rsidRPr="002B493B">
              <w:rPr>
                <w:rFonts w:asciiTheme="minorHAnsi" w:hAnsiTheme="minorHAnsi" w:cstheme="minorHAnsi"/>
                <w:color w:val="auto"/>
                <w:sz w:val="22"/>
                <w:szCs w:val="22"/>
              </w:rPr>
              <w:t>Board lack of understanding around budgets/finance.</w:t>
            </w:r>
          </w:p>
          <w:p w:rsidR="00DF6E1E" w:rsidRPr="002B493B" w:rsidRDefault="00DF6E1E" w:rsidP="00930D98">
            <w:pPr>
              <w:pStyle w:val="Default"/>
              <w:jc w:val="both"/>
              <w:rPr>
                <w:rFonts w:asciiTheme="minorHAnsi" w:hAnsiTheme="minorHAnsi" w:cstheme="minorHAnsi"/>
                <w:color w:val="auto"/>
                <w:sz w:val="22"/>
                <w:szCs w:val="22"/>
              </w:rPr>
            </w:pPr>
          </w:p>
          <w:p w:rsidR="00DF6E1E" w:rsidRPr="002B493B" w:rsidRDefault="00DF6E1E" w:rsidP="00930D98">
            <w:pPr>
              <w:pStyle w:val="Default"/>
              <w:jc w:val="both"/>
              <w:rPr>
                <w:rFonts w:asciiTheme="minorHAnsi" w:hAnsiTheme="minorHAnsi" w:cstheme="minorHAnsi"/>
                <w:color w:val="auto"/>
                <w:sz w:val="22"/>
                <w:szCs w:val="22"/>
              </w:rPr>
            </w:pPr>
            <w:r w:rsidRPr="002B493B">
              <w:rPr>
                <w:rFonts w:asciiTheme="minorHAnsi" w:hAnsiTheme="minorHAnsi" w:cstheme="minorHAnsi"/>
                <w:color w:val="auto"/>
                <w:sz w:val="22"/>
                <w:szCs w:val="22"/>
              </w:rPr>
              <w:t>Board being more business minded and understanding the implications of not managing Governance effectively.</w:t>
            </w:r>
          </w:p>
          <w:p w:rsidR="00DF6E1E" w:rsidRPr="002B493B" w:rsidRDefault="00DF6E1E" w:rsidP="00930D98">
            <w:pPr>
              <w:pStyle w:val="Default"/>
              <w:jc w:val="both"/>
              <w:rPr>
                <w:rFonts w:asciiTheme="minorHAnsi" w:hAnsiTheme="minorHAnsi" w:cstheme="minorHAnsi"/>
                <w:color w:val="auto"/>
                <w:sz w:val="22"/>
                <w:szCs w:val="22"/>
              </w:rPr>
            </w:pPr>
          </w:p>
          <w:p w:rsidR="00DF6E1E" w:rsidRPr="002B493B" w:rsidRDefault="00DF6E1E" w:rsidP="00930D98">
            <w:pPr>
              <w:pStyle w:val="Default"/>
              <w:jc w:val="both"/>
              <w:rPr>
                <w:rFonts w:asciiTheme="minorHAnsi" w:hAnsiTheme="minorHAnsi" w:cstheme="minorHAnsi"/>
                <w:color w:val="auto"/>
                <w:sz w:val="22"/>
                <w:szCs w:val="22"/>
              </w:rPr>
            </w:pPr>
            <w:r w:rsidRPr="002B493B">
              <w:rPr>
                <w:rFonts w:asciiTheme="minorHAnsi" w:hAnsiTheme="minorHAnsi" w:cstheme="minorHAnsi"/>
                <w:color w:val="auto"/>
                <w:sz w:val="22"/>
                <w:szCs w:val="22"/>
              </w:rPr>
              <w:t>Board to ensure minutes are concise and accurately recorded.</w:t>
            </w:r>
          </w:p>
          <w:p w:rsidR="00DF6E1E" w:rsidRPr="002B493B" w:rsidRDefault="00DF6E1E" w:rsidP="00930D98">
            <w:pPr>
              <w:pStyle w:val="Default"/>
              <w:jc w:val="both"/>
              <w:rPr>
                <w:rFonts w:asciiTheme="minorHAnsi" w:hAnsiTheme="minorHAnsi" w:cstheme="minorHAnsi"/>
                <w:color w:val="auto"/>
                <w:sz w:val="22"/>
                <w:szCs w:val="22"/>
              </w:rPr>
            </w:pPr>
            <w:r w:rsidRPr="002B493B">
              <w:rPr>
                <w:rFonts w:asciiTheme="minorHAnsi" w:hAnsiTheme="minorHAnsi" w:cstheme="minorHAnsi"/>
                <w:color w:val="auto"/>
                <w:sz w:val="22"/>
                <w:szCs w:val="22"/>
              </w:rPr>
              <w:t>Tenants to be involved in consultation on all service improvement on the estate.</w:t>
            </w:r>
          </w:p>
          <w:p w:rsidR="00DF6E1E" w:rsidRPr="00E03343" w:rsidRDefault="00DF6E1E" w:rsidP="00930D98">
            <w:pPr>
              <w:pStyle w:val="Default"/>
              <w:jc w:val="both"/>
              <w:rPr>
                <w:rFonts w:asciiTheme="minorHAnsi" w:hAnsiTheme="minorHAnsi" w:cstheme="minorHAnsi"/>
                <w:color w:val="auto"/>
                <w:sz w:val="22"/>
                <w:szCs w:val="22"/>
              </w:rPr>
            </w:pPr>
          </w:p>
        </w:tc>
      </w:tr>
      <w:tr w:rsidR="00DB25F2" w:rsidRPr="00E03343" w:rsidTr="00DB25F2">
        <w:tc>
          <w:tcPr>
            <w:tcW w:w="4634" w:type="dxa"/>
          </w:tcPr>
          <w:p w:rsidR="00077EA6" w:rsidRDefault="00DF6E1E" w:rsidP="00077EA6">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Bo</w:t>
            </w:r>
          </w:p>
          <w:p w:rsidR="00077EA6" w:rsidRPr="00E03343" w:rsidRDefault="00077EA6" w:rsidP="00077EA6">
            <w:pPr>
              <w:pStyle w:val="Default"/>
              <w:jc w:val="center"/>
              <w:rPr>
                <w:rFonts w:asciiTheme="minorHAnsi" w:hAnsiTheme="minorHAnsi" w:cstheme="minorHAnsi"/>
                <w:b/>
                <w:color w:val="auto"/>
                <w:sz w:val="22"/>
                <w:szCs w:val="22"/>
              </w:rPr>
            </w:pPr>
          </w:p>
        </w:tc>
        <w:tc>
          <w:tcPr>
            <w:tcW w:w="4634" w:type="dxa"/>
          </w:tcPr>
          <w:p w:rsidR="00077EA6" w:rsidRDefault="00077EA6" w:rsidP="00077EA6">
            <w:pPr>
              <w:pStyle w:val="Default"/>
              <w:jc w:val="center"/>
              <w:rPr>
                <w:rFonts w:asciiTheme="minorHAnsi" w:hAnsiTheme="minorHAnsi" w:cstheme="minorHAnsi"/>
                <w:b/>
                <w:color w:val="auto"/>
                <w:sz w:val="22"/>
                <w:szCs w:val="22"/>
              </w:rPr>
            </w:pPr>
          </w:p>
          <w:p w:rsidR="00DB25F2" w:rsidRDefault="00077EA6" w:rsidP="00077EA6">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Threats</w:t>
            </w:r>
          </w:p>
          <w:p w:rsidR="00077EA6" w:rsidRPr="00E03343" w:rsidRDefault="00077EA6" w:rsidP="00077EA6">
            <w:pPr>
              <w:pStyle w:val="Default"/>
              <w:jc w:val="center"/>
              <w:rPr>
                <w:rFonts w:asciiTheme="minorHAnsi" w:hAnsiTheme="minorHAnsi" w:cstheme="minorHAnsi"/>
                <w:b/>
                <w:color w:val="auto"/>
                <w:sz w:val="22"/>
                <w:szCs w:val="22"/>
              </w:rPr>
            </w:pPr>
          </w:p>
        </w:tc>
      </w:tr>
      <w:tr w:rsidR="00DB25F2" w:rsidRPr="00E03343" w:rsidTr="00DB25F2">
        <w:tc>
          <w:tcPr>
            <w:tcW w:w="4634" w:type="dxa"/>
          </w:tcPr>
          <w:p w:rsidR="00CC6778" w:rsidRDefault="00CC6778" w:rsidP="00930D98">
            <w:pPr>
              <w:pStyle w:val="Default"/>
              <w:jc w:val="both"/>
              <w:rPr>
                <w:rFonts w:asciiTheme="minorHAnsi" w:hAnsiTheme="minorHAnsi" w:cstheme="minorHAnsi"/>
                <w:color w:val="auto"/>
                <w:sz w:val="22"/>
                <w:szCs w:val="22"/>
              </w:rPr>
            </w:pPr>
          </w:p>
          <w:p w:rsidR="00DF6E1E" w:rsidRDefault="00DB25F2"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Increase the number of properties we manage.</w:t>
            </w:r>
            <w:r w:rsidR="00DF6E1E">
              <w:rPr>
                <w:rFonts w:asciiTheme="minorHAnsi" w:hAnsiTheme="minorHAnsi" w:cstheme="minorHAnsi"/>
                <w:color w:val="auto"/>
                <w:sz w:val="22"/>
                <w:szCs w:val="22"/>
              </w:rPr>
              <w:t xml:space="preserve"> </w:t>
            </w:r>
          </w:p>
          <w:p w:rsidR="00DB25F2" w:rsidRPr="00DF6E1E" w:rsidRDefault="00DF6E1E" w:rsidP="00930D98">
            <w:pPr>
              <w:pStyle w:val="Default"/>
              <w:jc w:val="both"/>
              <w:rPr>
                <w:rFonts w:asciiTheme="minorHAnsi" w:hAnsiTheme="minorHAnsi" w:cstheme="minorHAnsi"/>
                <w:color w:val="FF0000"/>
                <w:sz w:val="22"/>
                <w:szCs w:val="22"/>
              </w:rPr>
            </w:pPr>
            <w:r w:rsidRPr="002B493B">
              <w:rPr>
                <w:rFonts w:asciiTheme="minorHAnsi" w:hAnsiTheme="minorHAnsi" w:cstheme="minorHAnsi"/>
                <w:color w:val="auto"/>
                <w:sz w:val="22"/>
                <w:szCs w:val="22"/>
              </w:rPr>
              <w:t>Look the possibility of merging the two TMO’s</w:t>
            </w:r>
            <w:r>
              <w:rPr>
                <w:rFonts w:asciiTheme="minorHAnsi" w:hAnsiTheme="minorHAnsi" w:cstheme="minorHAnsi"/>
                <w:color w:val="FF0000"/>
                <w:sz w:val="22"/>
                <w:szCs w:val="22"/>
              </w:rPr>
              <w:t>.</w:t>
            </w:r>
          </w:p>
          <w:p w:rsidR="00077EA6" w:rsidRPr="00DF6E1E" w:rsidRDefault="00077EA6" w:rsidP="00930D98">
            <w:pPr>
              <w:pStyle w:val="Default"/>
              <w:jc w:val="both"/>
              <w:rPr>
                <w:rFonts w:asciiTheme="minorHAnsi" w:hAnsiTheme="minorHAnsi" w:cstheme="minorHAnsi"/>
                <w:color w:val="FF0000"/>
                <w:sz w:val="22"/>
                <w:szCs w:val="22"/>
              </w:rPr>
            </w:pPr>
          </w:p>
          <w:p w:rsidR="00DB25F2" w:rsidRPr="00E03343" w:rsidRDefault="00DB25F2"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 xml:space="preserve">Delivering more social related activities within the community. </w:t>
            </w:r>
          </w:p>
          <w:p w:rsidR="00077EA6" w:rsidRDefault="00077EA6" w:rsidP="00930D98">
            <w:pPr>
              <w:pStyle w:val="Default"/>
              <w:jc w:val="both"/>
              <w:rPr>
                <w:rFonts w:asciiTheme="minorHAnsi" w:hAnsiTheme="minorHAnsi" w:cstheme="minorHAnsi"/>
                <w:color w:val="auto"/>
                <w:sz w:val="22"/>
                <w:szCs w:val="22"/>
              </w:rPr>
            </w:pPr>
          </w:p>
          <w:p w:rsidR="00DB25F2" w:rsidRPr="00E03343" w:rsidRDefault="00DB25F2"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Increasing membership and levels of engagement.</w:t>
            </w:r>
          </w:p>
          <w:p w:rsidR="00077EA6" w:rsidRDefault="00077EA6" w:rsidP="00930D98">
            <w:pPr>
              <w:pStyle w:val="Default"/>
              <w:jc w:val="both"/>
              <w:rPr>
                <w:rFonts w:asciiTheme="minorHAnsi" w:hAnsiTheme="minorHAnsi" w:cstheme="minorHAnsi"/>
                <w:color w:val="auto"/>
                <w:sz w:val="22"/>
                <w:szCs w:val="22"/>
              </w:rPr>
            </w:pPr>
          </w:p>
          <w:p w:rsidR="00DB25F2" w:rsidRPr="00E03343" w:rsidRDefault="00DB25F2"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Developing a wide range of community support.</w:t>
            </w:r>
          </w:p>
          <w:p w:rsidR="00077EA6" w:rsidRDefault="00077EA6" w:rsidP="00930D98">
            <w:pPr>
              <w:pStyle w:val="Default"/>
              <w:jc w:val="both"/>
              <w:rPr>
                <w:rFonts w:asciiTheme="minorHAnsi" w:hAnsiTheme="minorHAnsi" w:cstheme="minorHAnsi"/>
                <w:color w:val="auto"/>
                <w:sz w:val="22"/>
                <w:szCs w:val="22"/>
              </w:rPr>
            </w:pPr>
          </w:p>
          <w:p w:rsidR="00DB25F2" w:rsidRPr="00E03343" w:rsidRDefault="00DB25F2"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Opportunities to work with a wider range of partners including the Council and local schools and workshops.</w:t>
            </w:r>
          </w:p>
          <w:p w:rsidR="00DB25F2" w:rsidRPr="00E03343" w:rsidRDefault="00DB25F2" w:rsidP="00930D98">
            <w:pPr>
              <w:pStyle w:val="Default"/>
              <w:jc w:val="both"/>
              <w:rPr>
                <w:rFonts w:asciiTheme="minorHAnsi" w:hAnsiTheme="minorHAnsi" w:cstheme="minorHAnsi"/>
                <w:color w:val="auto"/>
                <w:sz w:val="22"/>
                <w:szCs w:val="22"/>
              </w:rPr>
            </w:pPr>
          </w:p>
        </w:tc>
        <w:tc>
          <w:tcPr>
            <w:tcW w:w="4634" w:type="dxa"/>
          </w:tcPr>
          <w:p w:rsidR="00CC6778" w:rsidRDefault="00CC6778" w:rsidP="00930D98">
            <w:pPr>
              <w:pStyle w:val="Default"/>
              <w:jc w:val="both"/>
              <w:rPr>
                <w:rFonts w:asciiTheme="minorHAnsi" w:hAnsiTheme="minorHAnsi" w:cstheme="minorHAnsi"/>
                <w:color w:val="auto"/>
                <w:sz w:val="22"/>
                <w:szCs w:val="22"/>
              </w:rPr>
            </w:pPr>
          </w:p>
          <w:p w:rsidR="00DB25F2" w:rsidRPr="00E03343" w:rsidRDefault="00DB25F2"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Housing and Planning Bill.</w:t>
            </w:r>
          </w:p>
          <w:p w:rsidR="00077EA6" w:rsidRDefault="00077EA6" w:rsidP="00930D98">
            <w:pPr>
              <w:pStyle w:val="Default"/>
              <w:jc w:val="both"/>
              <w:rPr>
                <w:rFonts w:asciiTheme="minorHAnsi" w:hAnsiTheme="minorHAnsi" w:cstheme="minorHAnsi"/>
                <w:color w:val="auto"/>
                <w:sz w:val="22"/>
                <w:szCs w:val="22"/>
              </w:rPr>
            </w:pPr>
          </w:p>
          <w:p w:rsidR="00DB25F2" w:rsidRPr="00E03343" w:rsidRDefault="00DB25F2"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Potential reductions to future income steam.</w:t>
            </w:r>
          </w:p>
          <w:p w:rsidR="00077EA6" w:rsidRDefault="00077EA6" w:rsidP="00930D98">
            <w:pPr>
              <w:pStyle w:val="Default"/>
              <w:jc w:val="both"/>
              <w:rPr>
                <w:rFonts w:asciiTheme="minorHAnsi" w:hAnsiTheme="minorHAnsi" w:cstheme="minorHAnsi"/>
                <w:color w:val="auto"/>
                <w:sz w:val="22"/>
                <w:szCs w:val="22"/>
              </w:rPr>
            </w:pPr>
          </w:p>
          <w:p w:rsidR="00DB25F2" w:rsidRPr="00E03343" w:rsidRDefault="00DB25F2"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Lack of support for the continuation of the TMO.</w:t>
            </w:r>
          </w:p>
          <w:p w:rsidR="00077EA6" w:rsidRDefault="00077EA6" w:rsidP="00930D98">
            <w:pPr>
              <w:pStyle w:val="Default"/>
              <w:jc w:val="both"/>
              <w:rPr>
                <w:rFonts w:asciiTheme="minorHAnsi" w:hAnsiTheme="minorHAnsi" w:cstheme="minorHAnsi"/>
                <w:color w:val="auto"/>
                <w:sz w:val="22"/>
                <w:szCs w:val="22"/>
              </w:rPr>
            </w:pPr>
          </w:p>
          <w:p w:rsidR="00DB25F2" w:rsidRPr="00E03343" w:rsidRDefault="00DB25F2"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Lack of funding for capital investment.</w:t>
            </w:r>
          </w:p>
          <w:p w:rsidR="00077EA6" w:rsidRDefault="00077EA6" w:rsidP="00930D98">
            <w:pPr>
              <w:pStyle w:val="Default"/>
              <w:jc w:val="both"/>
              <w:rPr>
                <w:rFonts w:asciiTheme="minorHAnsi" w:hAnsiTheme="minorHAnsi" w:cstheme="minorHAnsi"/>
                <w:color w:val="auto"/>
                <w:sz w:val="22"/>
                <w:szCs w:val="22"/>
              </w:rPr>
            </w:pPr>
          </w:p>
          <w:p w:rsidR="00DB25F2" w:rsidRPr="00E03343" w:rsidRDefault="00DB25F2"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Complacency amongst residents and members leading to inactivity.</w:t>
            </w:r>
          </w:p>
          <w:p w:rsidR="00077EA6" w:rsidRDefault="00077EA6" w:rsidP="00930D98">
            <w:pPr>
              <w:pStyle w:val="Default"/>
              <w:jc w:val="both"/>
              <w:rPr>
                <w:rFonts w:asciiTheme="minorHAnsi" w:hAnsiTheme="minorHAnsi" w:cstheme="minorHAnsi"/>
                <w:color w:val="auto"/>
                <w:sz w:val="22"/>
                <w:szCs w:val="22"/>
              </w:rPr>
            </w:pPr>
          </w:p>
          <w:p w:rsidR="00DB25F2" w:rsidRDefault="00DB25F2"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Impact of Universal Credit on residents and TMO income collection.</w:t>
            </w:r>
          </w:p>
          <w:p w:rsidR="00DF6E1E" w:rsidRPr="002B493B" w:rsidRDefault="00DF6E1E" w:rsidP="00930D98">
            <w:pPr>
              <w:pStyle w:val="Default"/>
              <w:jc w:val="both"/>
              <w:rPr>
                <w:rFonts w:asciiTheme="minorHAnsi" w:hAnsiTheme="minorHAnsi" w:cstheme="minorHAnsi"/>
                <w:color w:val="auto"/>
                <w:sz w:val="22"/>
                <w:szCs w:val="22"/>
              </w:rPr>
            </w:pPr>
            <w:r w:rsidRPr="002B493B">
              <w:rPr>
                <w:rFonts w:asciiTheme="minorHAnsi" w:hAnsiTheme="minorHAnsi" w:cstheme="minorHAnsi"/>
                <w:color w:val="auto"/>
                <w:sz w:val="22"/>
                <w:szCs w:val="22"/>
              </w:rPr>
              <w:t xml:space="preserve">Failure to meet Governance </w:t>
            </w:r>
            <w:r w:rsidR="002B493B">
              <w:rPr>
                <w:rFonts w:asciiTheme="minorHAnsi" w:hAnsiTheme="minorHAnsi" w:cstheme="minorHAnsi"/>
                <w:color w:val="auto"/>
                <w:sz w:val="22"/>
                <w:szCs w:val="22"/>
              </w:rPr>
              <w:t xml:space="preserve">means </w:t>
            </w:r>
            <w:r w:rsidRPr="002B493B">
              <w:rPr>
                <w:rFonts w:asciiTheme="minorHAnsi" w:hAnsiTheme="minorHAnsi" w:cstheme="minorHAnsi"/>
                <w:color w:val="auto"/>
                <w:sz w:val="22"/>
                <w:szCs w:val="22"/>
              </w:rPr>
              <w:t>the termination of the MMA.</w:t>
            </w:r>
          </w:p>
          <w:p w:rsidR="00DF6E1E" w:rsidRPr="00E03343" w:rsidRDefault="00DF6E1E" w:rsidP="00930D98">
            <w:pPr>
              <w:pStyle w:val="Default"/>
              <w:jc w:val="both"/>
              <w:rPr>
                <w:rFonts w:asciiTheme="minorHAnsi" w:hAnsiTheme="minorHAnsi" w:cstheme="minorHAnsi"/>
                <w:color w:val="auto"/>
                <w:sz w:val="22"/>
                <w:szCs w:val="22"/>
              </w:rPr>
            </w:pPr>
          </w:p>
        </w:tc>
      </w:tr>
    </w:tbl>
    <w:p w:rsidR="00DB25F2" w:rsidRPr="00E03343" w:rsidRDefault="00DB25F2" w:rsidP="00930D98">
      <w:pPr>
        <w:pStyle w:val="ListParagraph"/>
        <w:ind w:left="360"/>
        <w:jc w:val="both"/>
      </w:pPr>
    </w:p>
    <w:p w:rsidR="00586B28" w:rsidRPr="00E03343" w:rsidRDefault="00586B28" w:rsidP="00930D98">
      <w:pPr>
        <w:jc w:val="both"/>
      </w:pPr>
      <w:r w:rsidRPr="00E03343">
        <w:br w:type="page"/>
      </w:r>
    </w:p>
    <w:p w:rsidR="003043F5" w:rsidRPr="00ED3A64" w:rsidRDefault="003043F5" w:rsidP="00930D98">
      <w:pPr>
        <w:pStyle w:val="ListParagraph"/>
        <w:numPr>
          <w:ilvl w:val="0"/>
          <w:numId w:val="5"/>
        </w:numPr>
        <w:jc w:val="both"/>
        <w:rPr>
          <w:b/>
          <w:sz w:val="24"/>
        </w:rPr>
      </w:pPr>
      <w:r w:rsidRPr="00ED3A64">
        <w:rPr>
          <w:b/>
          <w:sz w:val="24"/>
        </w:rPr>
        <w:t>Vision, Values and Objectives</w:t>
      </w:r>
    </w:p>
    <w:p w:rsidR="003043F5" w:rsidRPr="00E03343" w:rsidRDefault="003043F5" w:rsidP="00930D98">
      <w:pPr>
        <w:pStyle w:val="ListParagraph"/>
        <w:ind w:left="360"/>
        <w:jc w:val="both"/>
      </w:pPr>
    </w:p>
    <w:p w:rsidR="00586B28" w:rsidRPr="00E03343" w:rsidRDefault="00586B28" w:rsidP="00930D98">
      <w:pPr>
        <w:pStyle w:val="ListParagraph"/>
        <w:numPr>
          <w:ilvl w:val="1"/>
          <w:numId w:val="13"/>
        </w:numPr>
        <w:jc w:val="both"/>
      </w:pPr>
      <w:r w:rsidRPr="00E03343">
        <w:t xml:space="preserve">Our </w:t>
      </w:r>
      <w:r w:rsidR="003043F5" w:rsidRPr="00E03343">
        <w:t>Vision</w:t>
      </w:r>
    </w:p>
    <w:p w:rsidR="00586B28" w:rsidRPr="00E03343" w:rsidRDefault="00586B28" w:rsidP="00930D98">
      <w:pPr>
        <w:pStyle w:val="ListParagraph"/>
        <w:ind w:left="360"/>
        <w:jc w:val="both"/>
      </w:pPr>
    </w:p>
    <w:p w:rsidR="00586B28" w:rsidRPr="00E03343" w:rsidRDefault="00586B28" w:rsidP="00930D98">
      <w:pPr>
        <w:pStyle w:val="ListParagraph"/>
        <w:ind w:left="360"/>
        <w:jc w:val="both"/>
        <w:rPr>
          <w:rFonts w:ascii="Calibri" w:eastAsia="Calibri" w:hAnsi="Calibri" w:cs="Calibri"/>
        </w:rPr>
      </w:pPr>
      <w:r w:rsidRPr="00E03343">
        <w:rPr>
          <w:rFonts w:ascii="Calibri" w:eastAsia="Calibri" w:hAnsi="Calibri" w:cs="Calibri"/>
        </w:rPr>
        <w:t xml:space="preserve">KSHC is committed to working for the people of the estate and with organisations in order to provide excellent services and improve the quality of life for our residents through tenant management and community empowerment. </w:t>
      </w:r>
      <w:r w:rsidR="00910655" w:rsidRPr="00E03343">
        <w:rPr>
          <w:rFonts w:ascii="Calibri" w:eastAsia="Calibri" w:hAnsi="Calibri" w:cs="Calibri"/>
        </w:rPr>
        <w:t xml:space="preserve">Our aim is to make the estate a safe, clean and green place to live and ensure that our community is vibrant, friendly and respectful. </w:t>
      </w:r>
      <w:r w:rsidRPr="00E03343">
        <w:rPr>
          <w:rFonts w:ascii="Calibri" w:eastAsia="Calibri" w:hAnsi="Calibri" w:cs="Calibri"/>
        </w:rPr>
        <w:t>We will achieve this by:</w:t>
      </w:r>
    </w:p>
    <w:p w:rsidR="00586B28" w:rsidRPr="00E03343" w:rsidRDefault="00586B28" w:rsidP="00930D98">
      <w:pPr>
        <w:pStyle w:val="ListParagraph"/>
        <w:ind w:left="360"/>
        <w:jc w:val="both"/>
        <w:rPr>
          <w:rFonts w:ascii="Calibri" w:eastAsia="Calibri" w:hAnsi="Calibri" w:cs="Calibri"/>
        </w:rPr>
      </w:pPr>
    </w:p>
    <w:p w:rsidR="00586B28" w:rsidRPr="00E03343" w:rsidRDefault="00586B28" w:rsidP="00930D98">
      <w:pPr>
        <w:pStyle w:val="ListParagraph"/>
        <w:numPr>
          <w:ilvl w:val="0"/>
          <w:numId w:val="14"/>
        </w:numPr>
        <w:jc w:val="both"/>
        <w:rPr>
          <w:rFonts w:ascii="Calibri" w:eastAsia="Calibri" w:hAnsi="Calibri" w:cs="Calibri"/>
        </w:rPr>
      </w:pPr>
      <w:r w:rsidRPr="00E03343">
        <w:rPr>
          <w:rFonts w:ascii="Calibri" w:eastAsia="Calibri" w:hAnsi="Calibri" w:cs="Calibri"/>
        </w:rPr>
        <w:t>Providing the best housing service possible for our residents</w:t>
      </w:r>
      <w:r w:rsidR="00B77904" w:rsidRPr="00E03343">
        <w:rPr>
          <w:rFonts w:ascii="Calibri" w:eastAsia="Calibri" w:hAnsi="Calibri" w:cs="Calibri"/>
        </w:rPr>
        <w:t>.</w:t>
      </w:r>
    </w:p>
    <w:p w:rsidR="00586B28" w:rsidRPr="00E03343" w:rsidRDefault="00586B28" w:rsidP="00930D98">
      <w:pPr>
        <w:pStyle w:val="ListParagraph"/>
        <w:numPr>
          <w:ilvl w:val="0"/>
          <w:numId w:val="14"/>
        </w:numPr>
        <w:jc w:val="both"/>
        <w:rPr>
          <w:rFonts w:ascii="Calibri" w:eastAsia="Calibri" w:hAnsi="Calibri" w:cs="Calibri"/>
        </w:rPr>
      </w:pPr>
      <w:r w:rsidRPr="00E03343">
        <w:rPr>
          <w:rFonts w:ascii="Calibri" w:eastAsia="Calibri" w:hAnsi="Calibri" w:cs="Calibri"/>
        </w:rPr>
        <w:t>Ensuring we continue to communicate, consult and involve all members of our community in the TMO and local decision making</w:t>
      </w:r>
      <w:r w:rsidR="00B77904" w:rsidRPr="00E03343">
        <w:rPr>
          <w:rFonts w:ascii="Calibri" w:eastAsia="Calibri" w:hAnsi="Calibri" w:cs="Calibri"/>
        </w:rPr>
        <w:t>.</w:t>
      </w:r>
    </w:p>
    <w:p w:rsidR="00586B28" w:rsidRPr="00E03343" w:rsidRDefault="00586B28" w:rsidP="00930D98">
      <w:pPr>
        <w:pStyle w:val="ListParagraph"/>
        <w:numPr>
          <w:ilvl w:val="0"/>
          <w:numId w:val="14"/>
        </w:numPr>
        <w:jc w:val="both"/>
        <w:rPr>
          <w:rFonts w:ascii="Calibri" w:eastAsia="Calibri" w:hAnsi="Calibri" w:cs="Calibri"/>
        </w:rPr>
      </w:pPr>
      <w:r w:rsidRPr="00E03343">
        <w:rPr>
          <w:rFonts w:ascii="Calibri" w:eastAsia="Calibri" w:hAnsi="Calibri" w:cs="Calibri"/>
        </w:rPr>
        <w:t>Improving the homes and estate for our residents</w:t>
      </w:r>
      <w:r w:rsidR="00B77904" w:rsidRPr="00E03343">
        <w:rPr>
          <w:rFonts w:ascii="Calibri" w:eastAsia="Calibri" w:hAnsi="Calibri" w:cs="Calibri"/>
        </w:rPr>
        <w:t>.</w:t>
      </w:r>
    </w:p>
    <w:p w:rsidR="00586B28" w:rsidRPr="00E03343" w:rsidRDefault="00586B28" w:rsidP="00930D98">
      <w:pPr>
        <w:pStyle w:val="ListParagraph"/>
        <w:numPr>
          <w:ilvl w:val="0"/>
          <w:numId w:val="14"/>
        </w:numPr>
        <w:jc w:val="both"/>
        <w:rPr>
          <w:rFonts w:ascii="Calibri" w:eastAsia="Calibri" w:hAnsi="Calibri" w:cs="Calibri"/>
        </w:rPr>
      </w:pPr>
      <w:r w:rsidRPr="00E03343">
        <w:rPr>
          <w:rFonts w:ascii="Calibri" w:eastAsia="Calibri" w:hAnsi="Calibri" w:cs="Calibri"/>
        </w:rPr>
        <w:t>Undertaking projects and initiatives which will benefit our residents and local people</w:t>
      </w:r>
      <w:r w:rsidR="00B77904" w:rsidRPr="00E03343">
        <w:rPr>
          <w:rFonts w:ascii="Calibri" w:eastAsia="Calibri" w:hAnsi="Calibri" w:cs="Calibri"/>
        </w:rPr>
        <w:t>.</w:t>
      </w:r>
    </w:p>
    <w:p w:rsidR="00586B28" w:rsidRPr="00E03343" w:rsidRDefault="00586B28" w:rsidP="00930D98">
      <w:pPr>
        <w:pStyle w:val="ListParagraph"/>
        <w:numPr>
          <w:ilvl w:val="0"/>
          <w:numId w:val="14"/>
        </w:numPr>
        <w:jc w:val="both"/>
        <w:rPr>
          <w:rFonts w:ascii="Calibri" w:eastAsia="Calibri" w:hAnsi="Calibri" w:cs="Calibri"/>
        </w:rPr>
      </w:pPr>
      <w:r w:rsidRPr="00E03343">
        <w:rPr>
          <w:rFonts w:ascii="Calibri" w:eastAsia="Calibri" w:hAnsi="Calibri" w:cs="Calibri"/>
        </w:rPr>
        <w:t>Working with other groups and the council to improve a wide range of services for our residents</w:t>
      </w:r>
      <w:r w:rsidR="00B77904" w:rsidRPr="00E03343">
        <w:rPr>
          <w:rFonts w:ascii="Calibri" w:eastAsia="Calibri" w:hAnsi="Calibri" w:cs="Calibri"/>
        </w:rPr>
        <w:t>.</w:t>
      </w:r>
    </w:p>
    <w:p w:rsidR="00586B28" w:rsidRPr="00E03343" w:rsidRDefault="00B77904" w:rsidP="00930D98">
      <w:pPr>
        <w:pStyle w:val="ListParagraph"/>
        <w:numPr>
          <w:ilvl w:val="0"/>
          <w:numId w:val="14"/>
        </w:numPr>
        <w:jc w:val="both"/>
      </w:pPr>
      <w:r w:rsidRPr="00E03343">
        <w:rPr>
          <w:rFonts w:ascii="Calibri" w:eastAsia="Calibri" w:hAnsi="Calibri" w:cs="Calibri"/>
        </w:rPr>
        <w:t>Being</w:t>
      </w:r>
      <w:r w:rsidR="00586B28" w:rsidRPr="00E03343">
        <w:rPr>
          <w:rFonts w:ascii="Calibri" w:eastAsia="Calibri" w:hAnsi="Calibri" w:cs="Calibri"/>
        </w:rPr>
        <w:t xml:space="preserve"> self-aware and</w:t>
      </w:r>
      <w:r w:rsidRPr="00E03343">
        <w:rPr>
          <w:rFonts w:ascii="Calibri" w:eastAsia="Calibri" w:hAnsi="Calibri" w:cs="Calibri"/>
        </w:rPr>
        <w:t xml:space="preserve"> striving</w:t>
      </w:r>
      <w:r w:rsidR="00586B28" w:rsidRPr="00E03343">
        <w:rPr>
          <w:rFonts w:ascii="Calibri" w:eastAsia="Calibri" w:hAnsi="Calibri" w:cs="Calibri"/>
        </w:rPr>
        <w:t xml:space="preserve"> to improve our services</w:t>
      </w:r>
      <w:r w:rsidRPr="00E03343">
        <w:rPr>
          <w:rFonts w:ascii="Calibri" w:eastAsia="Calibri" w:hAnsi="Calibri" w:cs="Calibri"/>
        </w:rPr>
        <w:t>.</w:t>
      </w:r>
    </w:p>
    <w:p w:rsidR="00762F87" w:rsidRDefault="00C95A83" w:rsidP="00ED3A64">
      <w:pPr>
        <w:ind w:left="360"/>
        <w:jc w:val="both"/>
      </w:pPr>
      <w:r w:rsidRPr="00E03343">
        <w:t>Our mission is to deliver excellent services through resident-led management.</w:t>
      </w:r>
    </w:p>
    <w:p w:rsidR="00ED3A64" w:rsidRPr="00E03343" w:rsidRDefault="00ED3A64" w:rsidP="00ED3A64">
      <w:pPr>
        <w:ind w:left="360"/>
        <w:jc w:val="both"/>
      </w:pPr>
    </w:p>
    <w:p w:rsidR="00C95A83" w:rsidRPr="00E03343" w:rsidRDefault="00586B28" w:rsidP="00930D98">
      <w:pPr>
        <w:pStyle w:val="ListParagraph"/>
        <w:numPr>
          <w:ilvl w:val="1"/>
          <w:numId w:val="13"/>
        </w:numPr>
        <w:jc w:val="both"/>
      </w:pPr>
      <w:r w:rsidRPr="00E03343">
        <w:t xml:space="preserve">Our </w:t>
      </w:r>
      <w:r w:rsidR="003043F5" w:rsidRPr="00E03343">
        <w:t>Values</w:t>
      </w:r>
    </w:p>
    <w:p w:rsidR="00C95A83" w:rsidRPr="00E03343" w:rsidRDefault="00C95A83" w:rsidP="00930D98">
      <w:pPr>
        <w:pStyle w:val="ListParagraph"/>
        <w:jc w:val="both"/>
      </w:pPr>
    </w:p>
    <w:p w:rsidR="00B77904" w:rsidRDefault="00B77904" w:rsidP="00930D98">
      <w:pPr>
        <w:pStyle w:val="ListParagraph"/>
        <w:jc w:val="both"/>
        <w:rPr>
          <w:rFonts w:ascii="Calibri" w:eastAsia="Calibri" w:hAnsi="Calibri" w:cs="Calibri"/>
        </w:rPr>
      </w:pPr>
      <w:r w:rsidRPr="00E03343">
        <w:t>KSHC</w:t>
      </w:r>
      <w:r w:rsidRPr="00E03343">
        <w:rPr>
          <w:rFonts w:ascii="Calibri" w:eastAsia="Calibri" w:hAnsi="Calibri" w:cs="Calibri"/>
        </w:rPr>
        <w:t xml:space="preserve"> has adopted the following values in order to reflect our commitment to providing excellent services and the empowerment of our residents and local people:</w:t>
      </w:r>
    </w:p>
    <w:p w:rsidR="00ED3A64" w:rsidRPr="00E03343" w:rsidRDefault="00ED3A64" w:rsidP="00930D98">
      <w:pPr>
        <w:pStyle w:val="ListParagraph"/>
        <w:jc w:val="both"/>
      </w:pPr>
    </w:p>
    <w:p w:rsidR="00B77904" w:rsidRPr="00E03343" w:rsidRDefault="00B77904" w:rsidP="00930D98">
      <w:pPr>
        <w:pStyle w:val="ListParagraph"/>
        <w:numPr>
          <w:ilvl w:val="0"/>
          <w:numId w:val="15"/>
        </w:numPr>
        <w:jc w:val="both"/>
        <w:rPr>
          <w:rFonts w:ascii="Calibri" w:eastAsia="Calibri" w:hAnsi="Calibri" w:cs="Calibri"/>
        </w:rPr>
      </w:pPr>
      <w:r w:rsidRPr="00E03343">
        <w:rPr>
          <w:rFonts w:ascii="Calibri" w:eastAsia="Calibri" w:hAnsi="Calibri" w:cs="Calibri"/>
        </w:rPr>
        <w:t>We respect our community and care about people and as a TMO we strive to make a difference</w:t>
      </w:r>
    </w:p>
    <w:p w:rsidR="00B77904" w:rsidRPr="00E03343" w:rsidRDefault="00B77904" w:rsidP="00930D98">
      <w:pPr>
        <w:pStyle w:val="ListParagraph"/>
        <w:numPr>
          <w:ilvl w:val="0"/>
          <w:numId w:val="15"/>
        </w:numPr>
        <w:jc w:val="both"/>
        <w:rPr>
          <w:rFonts w:ascii="Calibri" w:eastAsia="Calibri" w:hAnsi="Calibri" w:cs="Calibri"/>
        </w:rPr>
      </w:pPr>
      <w:r w:rsidRPr="00E03343">
        <w:rPr>
          <w:rFonts w:ascii="Calibri" w:eastAsia="Calibri" w:hAnsi="Calibri" w:cs="Calibri"/>
        </w:rPr>
        <w:t>We celebrate the diversity of our community and will strive to ensure we represent and serve all of our resid</w:t>
      </w:r>
      <w:r w:rsidR="00910655" w:rsidRPr="00E03343">
        <w:rPr>
          <w:rFonts w:ascii="Calibri" w:eastAsia="Calibri" w:hAnsi="Calibri" w:cs="Calibri"/>
        </w:rPr>
        <w:t>ents in a fair and equitable manner.</w:t>
      </w:r>
    </w:p>
    <w:p w:rsidR="00B77904" w:rsidRPr="00E03343" w:rsidRDefault="00B77904" w:rsidP="00930D98">
      <w:pPr>
        <w:pStyle w:val="ListParagraph"/>
        <w:numPr>
          <w:ilvl w:val="0"/>
          <w:numId w:val="15"/>
        </w:numPr>
        <w:jc w:val="both"/>
        <w:rPr>
          <w:rFonts w:ascii="Calibri" w:eastAsia="Calibri" w:hAnsi="Calibri" w:cs="Calibri"/>
        </w:rPr>
      </w:pPr>
      <w:r w:rsidRPr="00E03343">
        <w:rPr>
          <w:rFonts w:ascii="Calibri" w:eastAsia="Calibri" w:hAnsi="Calibri" w:cs="Calibri"/>
        </w:rPr>
        <w:t>Our residents are our customers and their contribution to the TMO is key to our success</w:t>
      </w:r>
      <w:r w:rsidR="00910655" w:rsidRPr="00E03343">
        <w:rPr>
          <w:rFonts w:ascii="Calibri" w:eastAsia="Calibri" w:hAnsi="Calibri" w:cs="Calibri"/>
        </w:rPr>
        <w:t>.</w:t>
      </w:r>
    </w:p>
    <w:p w:rsidR="00910655" w:rsidRDefault="00910655" w:rsidP="00930D98">
      <w:pPr>
        <w:pStyle w:val="ListParagraph"/>
        <w:numPr>
          <w:ilvl w:val="0"/>
          <w:numId w:val="15"/>
        </w:numPr>
        <w:jc w:val="both"/>
        <w:rPr>
          <w:rFonts w:ascii="Calibri" w:eastAsia="Calibri" w:hAnsi="Calibri" w:cs="Calibri"/>
        </w:rPr>
      </w:pPr>
      <w:r w:rsidRPr="00E03343">
        <w:rPr>
          <w:rFonts w:ascii="Calibri" w:eastAsia="Calibri" w:hAnsi="Calibri" w:cs="Calibri"/>
        </w:rPr>
        <w:t>We value of staff and seek to be a good employer.</w:t>
      </w:r>
    </w:p>
    <w:p w:rsidR="00ED3A64" w:rsidRPr="00E03343" w:rsidRDefault="00ED3A64" w:rsidP="00ED3A64">
      <w:pPr>
        <w:pStyle w:val="ListParagraph"/>
        <w:ind w:left="1080"/>
        <w:jc w:val="both"/>
        <w:rPr>
          <w:rFonts w:ascii="Calibri" w:eastAsia="Calibri" w:hAnsi="Calibri" w:cs="Calibri"/>
        </w:rPr>
      </w:pPr>
    </w:p>
    <w:p w:rsidR="00910655" w:rsidRPr="00E03343" w:rsidRDefault="00910655" w:rsidP="00930D98">
      <w:pPr>
        <w:pStyle w:val="ListParagraph"/>
        <w:ind w:left="1080"/>
        <w:jc w:val="both"/>
        <w:rPr>
          <w:rFonts w:ascii="Calibri" w:eastAsia="Calibri" w:hAnsi="Calibri" w:cs="Calibri"/>
        </w:rPr>
      </w:pPr>
    </w:p>
    <w:p w:rsidR="003043F5" w:rsidRPr="00E03343" w:rsidRDefault="00586B28" w:rsidP="00930D98">
      <w:pPr>
        <w:pStyle w:val="ListParagraph"/>
        <w:numPr>
          <w:ilvl w:val="1"/>
          <w:numId w:val="13"/>
        </w:numPr>
        <w:jc w:val="both"/>
      </w:pPr>
      <w:r w:rsidRPr="00E03343">
        <w:t xml:space="preserve">Our Key </w:t>
      </w:r>
      <w:r w:rsidR="003043F5" w:rsidRPr="00E03343">
        <w:t>Objectives</w:t>
      </w:r>
    </w:p>
    <w:p w:rsidR="00C95A83" w:rsidRPr="00E03343" w:rsidRDefault="00C95A83" w:rsidP="00930D98">
      <w:pPr>
        <w:pStyle w:val="ListParagraph"/>
        <w:jc w:val="both"/>
      </w:pPr>
    </w:p>
    <w:p w:rsidR="00C95A83" w:rsidRPr="00E03343" w:rsidRDefault="00C95A83" w:rsidP="00930D98">
      <w:pPr>
        <w:pStyle w:val="ListParagraph"/>
        <w:numPr>
          <w:ilvl w:val="2"/>
          <w:numId w:val="13"/>
        </w:numPr>
        <w:jc w:val="both"/>
        <w:rPr>
          <w:i/>
        </w:rPr>
      </w:pPr>
      <w:r w:rsidRPr="00ED3A64">
        <w:rPr>
          <w:i/>
          <w:u w:val="single"/>
        </w:rPr>
        <w:t>Community</w:t>
      </w:r>
      <w:r w:rsidRPr="00E03343">
        <w:rPr>
          <w:i/>
        </w:rPr>
        <w:t xml:space="preserve"> objectives</w:t>
      </w:r>
    </w:p>
    <w:p w:rsidR="00C95A83" w:rsidRPr="00E03343" w:rsidRDefault="00C95A83" w:rsidP="00930D98">
      <w:pPr>
        <w:pStyle w:val="ListParagraph"/>
        <w:ind w:left="1440"/>
        <w:jc w:val="both"/>
      </w:pPr>
    </w:p>
    <w:p w:rsidR="00C95A83" w:rsidRPr="00E03343" w:rsidRDefault="00C95A83" w:rsidP="00930D98">
      <w:pPr>
        <w:pStyle w:val="ListParagraph"/>
        <w:ind w:left="1440"/>
        <w:jc w:val="both"/>
        <w:rPr>
          <w:rFonts w:ascii="Calibri" w:eastAsia="Calibri" w:hAnsi="Calibri" w:cs="Calibri"/>
        </w:rPr>
      </w:pPr>
      <w:r w:rsidRPr="00E03343">
        <w:rPr>
          <w:rFonts w:ascii="Calibri" w:eastAsia="Calibri" w:hAnsi="Calibri" w:cs="Calibri"/>
        </w:rPr>
        <w:t>The TMO has contributed positively to the community and we want our residents to stay with us for a long time. We have seen an increase in people exercising the Right-to-Buy which we believe is as a result of the work that the TMO has done. We want to keep holding regular social events that are well attended. We are forever seeking new ways of engaging with our community and the Board reflects a good representation of the residents that live on the estate.</w:t>
      </w:r>
    </w:p>
    <w:p w:rsidR="00C95A83" w:rsidRPr="00E03343" w:rsidRDefault="00C95A83" w:rsidP="00930D98">
      <w:pPr>
        <w:pStyle w:val="ListParagraph"/>
        <w:ind w:left="1440"/>
        <w:jc w:val="both"/>
        <w:rPr>
          <w:rFonts w:ascii="Calibri" w:eastAsia="Calibri" w:hAnsi="Calibri" w:cs="Calibri"/>
        </w:rPr>
      </w:pPr>
    </w:p>
    <w:p w:rsidR="00C95A83" w:rsidRPr="00E03343" w:rsidRDefault="00C95A83" w:rsidP="00930D98">
      <w:pPr>
        <w:pStyle w:val="ListParagraph"/>
        <w:ind w:left="1440"/>
        <w:jc w:val="both"/>
      </w:pPr>
      <w:r w:rsidRPr="00E03343">
        <w:rPr>
          <w:rFonts w:ascii="Calibri" w:eastAsia="Calibri" w:hAnsi="Calibri" w:cs="Calibri"/>
        </w:rPr>
        <w:t>We want</w:t>
      </w:r>
      <w:r w:rsidRPr="00E03343">
        <w:t xml:space="preserve"> to invest in the community, especially younger residents, via apprenticeship schemes and we want to develop new activities for senior residents.</w:t>
      </w:r>
    </w:p>
    <w:p w:rsidR="00C95A83" w:rsidRDefault="00C95A83" w:rsidP="00930D98">
      <w:pPr>
        <w:pStyle w:val="ListParagraph"/>
        <w:ind w:left="1440"/>
        <w:jc w:val="both"/>
      </w:pPr>
    </w:p>
    <w:p w:rsidR="00ED3A64" w:rsidRDefault="00ED3A64" w:rsidP="00930D98">
      <w:pPr>
        <w:pStyle w:val="ListParagraph"/>
        <w:ind w:left="1440"/>
        <w:jc w:val="both"/>
      </w:pPr>
    </w:p>
    <w:p w:rsidR="00ED3A64" w:rsidRPr="00E03343" w:rsidRDefault="00ED3A64" w:rsidP="00930D98">
      <w:pPr>
        <w:pStyle w:val="ListParagraph"/>
        <w:ind w:left="1440"/>
        <w:jc w:val="both"/>
      </w:pPr>
    </w:p>
    <w:p w:rsidR="00C95A83" w:rsidRPr="00E03343" w:rsidRDefault="00C95A83" w:rsidP="00930D98">
      <w:pPr>
        <w:pStyle w:val="ListParagraph"/>
        <w:numPr>
          <w:ilvl w:val="2"/>
          <w:numId w:val="13"/>
        </w:numPr>
        <w:jc w:val="both"/>
        <w:rPr>
          <w:i/>
        </w:rPr>
      </w:pPr>
      <w:r w:rsidRPr="00ED3A64">
        <w:rPr>
          <w:i/>
          <w:u w:val="single"/>
        </w:rPr>
        <w:t>Organisation &amp; governance</w:t>
      </w:r>
      <w:r w:rsidRPr="00E03343">
        <w:rPr>
          <w:i/>
        </w:rPr>
        <w:t xml:space="preserve"> objectives</w:t>
      </w:r>
    </w:p>
    <w:p w:rsidR="00C95A83" w:rsidRPr="00E03343" w:rsidRDefault="00C95A83" w:rsidP="00930D98">
      <w:pPr>
        <w:pStyle w:val="ListParagraph"/>
        <w:ind w:left="1440"/>
        <w:jc w:val="both"/>
      </w:pPr>
    </w:p>
    <w:p w:rsidR="004024A5" w:rsidRPr="00E03343" w:rsidRDefault="00C95A83" w:rsidP="00930D98">
      <w:pPr>
        <w:pStyle w:val="ListParagraph"/>
        <w:ind w:left="1440"/>
        <w:jc w:val="both"/>
        <w:rPr>
          <w:rFonts w:ascii="Calibri" w:eastAsia="Calibri" w:hAnsi="Calibri" w:cs="Calibri"/>
        </w:rPr>
      </w:pPr>
      <w:r w:rsidRPr="00E03343">
        <w:rPr>
          <w:rFonts w:ascii="Calibri" w:eastAsia="Calibri" w:hAnsi="Calibri" w:cs="Calibri"/>
        </w:rPr>
        <w:t>We are improving a new governance framework, which is being developed and adopted by the Board. The governance structure in place helps us manage the organisation and gives us clear outline to roles and responsibilities. We have monthly Board meetings, one Annual General Meeting (AGM) and three General Meetings. We consult and keep our stake</w:t>
      </w:r>
      <w:r w:rsidR="00C034EA" w:rsidRPr="00E03343">
        <w:rPr>
          <w:rFonts w:ascii="Calibri" w:eastAsia="Calibri" w:hAnsi="Calibri" w:cs="Calibri"/>
        </w:rPr>
        <w:t>holders informed on a monthly basis</w:t>
      </w:r>
      <w:r w:rsidRPr="00E03343">
        <w:rPr>
          <w:rFonts w:ascii="Calibri" w:eastAsia="Calibri" w:hAnsi="Calibri" w:cs="Calibri"/>
        </w:rPr>
        <w:t xml:space="preserve">. Policies are </w:t>
      </w:r>
      <w:r w:rsidR="004024A5" w:rsidRPr="00E03343">
        <w:rPr>
          <w:rFonts w:ascii="Calibri" w:eastAsia="Calibri" w:hAnsi="Calibri" w:cs="Calibri"/>
        </w:rPr>
        <w:t xml:space="preserve">currently </w:t>
      </w:r>
      <w:r w:rsidRPr="00E03343">
        <w:rPr>
          <w:rFonts w:ascii="Calibri" w:eastAsia="Calibri" w:hAnsi="Calibri" w:cs="Calibri"/>
        </w:rPr>
        <w:t>reviewed and adopted as necessary</w:t>
      </w:r>
      <w:r w:rsidR="004024A5" w:rsidRPr="00E03343">
        <w:rPr>
          <w:rFonts w:ascii="Calibri" w:eastAsia="Calibri" w:hAnsi="Calibri" w:cs="Calibri"/>
        </w:rPr>
        <w:t>, usually every two years</w:t>
      </w:r>
      <w:r w:rsidRPr="00E03343">
        <w:rPr>
          <w:rFonts w:ascii="Calibri" w:eastAsia="Calibri" w:hAnsi="Calibri" w:cs="Calibri"/>
        </w:rPr>
        <w:t>. Relevant changes are discussed and debated at the meetings and voted upon when necessary to allow us to be open and transparent.</w:t>
      </w:r>
      <w:r w:rsidR="004024A5" w:rsidRPr="00E03343">
        <w:rPr>
          <w:rFonts w:ascii="Calibri" w:eastAsia="Calibri" w:hAnsi="Calibri" w:cs="Calibri"/>
        </w:rPr>
        <w:t xml:space="preserve"> We want to increase the number of Board Members and prioritise training for all of them.</w:t>
      </w:r>
    </w:p>
    <w:p w:rsidR="004024A5" w:rsidRPr="00E03343" w:rsidRDefault="004024A5" w:rsidP="00930D98">
      <w:pPr>
        <w:pStyle w:val="ListParagraph"/>
        <w:ind w:left="1440"/>
        <w:jc w:val="both"/>
        <w:rPr>
          <w:rFonts w:ascii="Calibri" w:eastAsia="Calibri" w:hAnsi="Calibri" w:cs="Calibri"/>
        </w:rPr>
      </w:pPr>
    </w:p>
    <w:p w:rsidR="00031C05" w:rsidRPr="00E03343" w:rsidRDefault="004024A5" w:rsidP="00930D98">
      <w:pPr>
        <w:pStyle w:val="ListParagraph"/>
        <w:numPr>
          <w:ilvl w:val="2"/>
          <w:numId w:val="13"/>
        </w:numPr>
        <w:jc w:val="both"/>
        <w:rPr>
          <w:rFonts w:ascii="Calibri" w:eastAsia="Calibri" w:hAnsi="Calibri" w:cs="Calibri"/>
          <w:i/>
        </w:rPr>
      </w:pPr>
      <w:r w:rsidRPr="00ED3A64">
        <w:rPr>
          <w:rFonts w:ascii="Calibri" w:eastAsia="Calibri" w:hAnsi="Calibri" w:cs="Calibri"/>
          <w:i/>
          <w:u w:val="single"/>
        </w:rPr>
        <w:t>Services and project</w:t>
      </w:r>
      <w:r w:rsidRPr="00E03343">
        <w:rPr>
          <w:rFonts w:ascii="Calibri" w:eastAsia="Calibri" w:hAnsi="Calibri" w:cs="Calibri"/>
          <w:i/>
        </w:rPr>
        <w:t xml:space="preserve"> objectives</w:t>
      </w:r>
    </w:p>
    <w:p w:rsidR="00031C05" w:rsidRPr="00E03343" w:rsidRDefault="00031C05" w:rsidP="00930D98">
      <w:pPr>
        <w:pStyle w:val="ListParagraph"/>
        <w:ind w:left="1440"/>
        <w:jc w:val="both"/>
        <w:rPr>
          <w:rFonts w:ascii="Calibri" w:eastAsia="Calibri" w:hAnsi="Calibri" w:cs="Calibri"/>
          <w:i/>
        </w:rPr>
      </w:pPr>
    </w:p>
    <w:p w:rsidR="006D0779" w:rsidRPr="00E03343" w:rsidRDefault="00031C05" w:rsidP="00930D98">
      <w:pPr>
        <w:pStyle w:val="ListParagraph"/>
        <w:ind w:left="1440"/>
        <w:jc w:val="both"/>
      </w:pPr>
      <w:r w:rsidRPr="00E03343">
        <w:t>We want to develop a service to increase security at the site, i.e. identify a better way to patrol the estate outside regular office hours (overnight and weekends).</w:t>
      </w:r>
    </w:p>
    <w:p w:rsidR="006D0779" w:rsidRPr="00E03343" w:rsidRDefault="006D0779" w:rsidP="00930D98">
      <w:pPr>
        <w:pStyle w:val="ListParagraph"/>
        <w:ind w:left="1440"/>
        <w:jc w:val="both"/>
      </w:pPr>
    </w:p>
    <w:p w:rsidR="006D0779" w:rsidRPr="00E03343" w:rsidRDefault="006D0779" w:rsidP="00930D98">
      <w:pPr>
        <w:pStyle w:val="ListParagraph"/>
        <w:ind w:left="1440"/>
        <w:jc w:val="both"/>
      </w:pPr>
      <w:r w:rsidRPr="00E03343">
        <w:t>We want to improve IT digital services for both residents and the Board.</w:t>
      </w:r>
    </w:p>
    <w:p w:rsidR="006D0779" w:rsidRPr="00E03343" w:rsidRDefault="006D0779" w:rsidP="00930D98">
      <w:pPr>
        <w:pStyle w:val="ListParagraph"/>
        <w:ind w:left="1440"/>
        <w:jc w:val="both"/>
      </w:pPr>
    </w:p>
    <w:p w:rsidR="004024A5" w:rsidRPr="00E03343" w:rsidRDefault="004024A5" w:rsidP="00930D98">
      <w:pPr>
        <w:pStyle w:val="ListParagraph"/>
        <w:ind w:left="1440"/>
        <w:jc w:val="both"/>
      </w:pPr>
      <w:r w:rsidRPr="00E03343">
        <w:t>We want to take over the management of the new build on the Rathbone Garage side and to take over more Council street properties.</w:t>
      </w:r>
    </w:p>
    <w:p w:rsidR="00031C05" w:rsidRPr="00E03343" w:rsidRDefault="00031C05" w:rsidP="00930D98">
      <w:pPr>
        <w:pStyle w:val="ListParagraph"/>
        <w:ind w:left="1440"/>
        <w:jc w:val="both"/>
      </w:pPr>
    </w:p>
    <w:p w:rsidR="00031C05" w:rsidRPr="00E03343" w:rsidRDefault="00031C05" w:rsidP="00930D98">
      <w:pPr>
        <w:pStyle w:val="ListParagraph"/>
        <w:ind w:left="1440"/>
        <w:jc w:val="both"/>
      </w:pPr>
      <w:r w:rsidRPr="00E03343">
        <w:t>We propose to introduce repairs or works for leaseholders by an in-house Maintenance Officer who knows the estate. This will deliver best value for money as well as bring new revenue to KSHC.</w:t>
      </w:r>
    </w:p>
    <w:p w:rsidR="004024A5" w:rsidRPr="00E03343" w:rsidRDefault="004024A5" w:rsidP="00930D98">
      <w:pPr>
        <w:pStyle w:val="ListParagraph"/>
        <w:ind w:left="1440"/>
        <w:jc w:val="both"/>
      </w:pPr>
    </w:p>
    <w:p w:rsidR="004024A5" w:rsidRPr="00E03343" w:rsidRDefault="004024A5" w:rsidP="00930D98">
      <w:pPr>
        <w:pStyle w:val="ListParagraph"/>
        <w:ind w:left="1440"/>
        <w:jc w:val="both"/>
      </w:pPr>
      <w:r w:rsidRPr="00E03343">
        <w:t>We plan to send out questionnaires for residents’ satisfaction and feedback, in order to obtain proposals to improve the services provided, considering the whole life cycle cost and seek best value for money, which may not necessarily be the cheapest option in the short term.</w:t>
      </w:r>
    </w:p>
    <w:p w:rsidR="004024A5" w:rsidRPr="00E03343" w:rsidRDefault="004024A5" w:rsidP="00930D98">
      <w:pPr>
        <w:pStyle w:val="ListParagraph"/>
        <w:ind w:left="1440"/>
        <w:jc w:val="both"/>
      </w:pPr>
    </w:p>
    <w:p w:rsidR="004024A5" w:rsidRPr="00E03343" w:rsidRDefault="004024A5" w:rsidP="00930D98">
      <w:pPr>
        <w:pStyle w:val="ListParagraph"/>
        <w:numPr>
          <w:ilvl w:val="2"/>
          <w:numId w:val="13"/>
        </w:numPr>
        <w:jc w:val="both"/>
        <w:rPr>
          <w:i/>
        </w:rPr>
      </w:pPr>
      <w:r w:rsidRPr="00ED3A64">
        <w:rPr>
          <w:i/>
          <w:u w:val="single"/>
        </w:rPr>
        <w:t>Financial</w:t>
      </w:r>
      <w:r w:rsidRPr="00E03343">
        <w:rPr>
          <w:i/>
        </w:rPr>
        <w:t xml:space="preserve"> objectives</w:t>
      </w:r>
    </w:p>
    <w:p w:rsidR="004024A5" w:rsidRPr="00E03343" w:rsidRDefault="004024A5" w:rsidP="00930D98">
      <w:pPr>
        <w:pStyle w:val="ListParagraph"/>
        <w:ind w:left="1440"/>
        <w:jc w:val="both"/>
      </w:pPr>
    </w:p>
    <w:p w:rsidR="004024A5" w:rsidRPr="00E03343" w:rsidRDefault="004024A5" w:rsidP="00930D98">
      <w:pPr>
        <w:pStyle w:val="ListParagraph"/>
        <w:ind w:left="1440"/>
        <w:jc w:val="both"/>
        <w:rPr>
          <w:rFonts w:ascii="Calibri" w:eastAsia="Calibri" w:hAnsi="Calibri" w:cs="Calibri"/>
        </w:rPr>
      </w:pPr>
      <w:r w:rsidRPr="00E03343">
        <w:rPr>
          <w:rFonts w:ascii="Calibri" w:eastAsia="Calibri" w:hAnsi="Calibri" w:cs="Calibri"/>
        </w:rPr>
        <w:t>We receive an allowance from the Council, administered by Brent Housing Partnership (BHP), which should be equivalent to what it costs BHP to manage the Council’s housing stock, in accordance with a formula set by the government in the Right to Manage Legislation.</w:t>
      </w:r>
    </w:p>
    <w:p w:rsidR="004024A5" w:rsidRPr="00E03343" w:rsidRDefault="004024A5" w:rsidP="00930D98">
      <w:pPr>
        <w:pStyle w:val="ListParagraph"/>
        <w:ind w:left="1440"/>
        <w:jc w:val="both"/>
        <w:rPr>
          <w:rFonts w:ascii="Calibri" w:eastAsia="Calibri" w:hAnsi="Calibri" w:cs="Calibri"/>
        </w:rPr>
      </w:pPr>
    </w:p>
    <w:p w:rsidR="004024A5" w:rsidRPr="00E03343" w:rsidRDefault="004024A5" w:rsidP="00930D98">
      <w:pPr>
        <w:pStyle w:val="ListParagraph"/>
        <w:ind w:left="1440"/>
        <w:jc w:val="both"/>
        <w:rPr>
          <w:rFonts w:ascii="Calibri" w:eastAsia="Calibri" w:hAnsi="Calibri" w:cs="Calibri"/>
        </w:rPr>
      </w:pPr>
      <w:r w:rsidRPr="00E03343">
        <w:rPr>
          <w:rFonts w:ascii="Calibri" w:eastAsia="Calibri" w:hAnsi="Calibri" w:cs="Calibri"/>
        </w:rPr>
        <w:t xml:space="preserve">Should the TMO </w:t>
      </w:r>
      <w:r w:rsidR="008F2DF5" w:rsidRPr="00E03343">
        <w:rPr>
          <w:rFonts w:ascii="Calibri" w:eastAsia="Calibri" w:hAnsi="Calibri" w:cs="Calibri"/>
        </w:rPr>
        <w:t xml:space="preserve">be prudent and make a surplus </w:t>
      </w:r>
      <w:r w:rsidRPr="00E03343">
        <w:rPr>
          <w:rFonts w:ascii="Calibri" w:eastAsia="Calibri" w:hAnsi="Calibri" w:cs="Calibri"/>
        </w:rPr>
        <w:t>i.e. provides services at a lower cost, we want to use the surplus to carry out improvements on our estate, following full consultation with our Members.</w:t>
      </w:r>
    </w:p>
    <w:p w:rsidR="004024A5" w:rsidRPr="00E03343" w:rsidRDefault="004024A5" w:rsidP="00930D98">
      <w:pPr>
        <w:pStyle w:val="ListParagraph"/>
        <w:ind w:left="1440"/>
        <w:jc w:val="both"/>
        <w:rPr>
          <w:rFonts w:ascii="Calibri" w:eastAsia="Calibri" w:hAnsi="Calibri" w:cs="Calibri"/>
        </w:rPr>
      </w:pPr>
    </w:p>
    <w:p w:rsidR="004024A5" w:rsidRPr="00E03343" w:rsidRDefault="004024A5" w:rsidP="00930D98">
      <w:pPr>
        <w:pStyle w:val="ListParagraph"/>
        <w:ind w:left="1440"/>
        <w:jc w:val="both"/>
        <w:rPr>
          <w:rFonts w:ascii="Calibri" w:eastAsia="Calibri" w:hAnsi="Calibri" w:cs="Calibri"/>
        </w:rPr>
      </w:pPr>
      <w:r w:rsidRPr="00E03343">
        <w:rPr>
          <w:rFonts w:ascii="Calibri" w:eastAsia="Calibri" w:hAnsi="Calibri" w:cs="Calibri"/>
        </w:rPr>
        <w:t>We endeavour to achieve ‘value for money’, which ensures the TMO is efficient and that risk will be managed.</w:t>
      </w:r>
    </w:p>
    <w:p w:rsidR="004024A5" w:rsidRPr="00E03343" w:rsidRDefault="004024A5" w:rsidP="00930D98">
      <w:pPr>
        <w:pStyle w:val="ListParagraph"/>
        <w:ind w:left="1440"/>
        <w:jc w:val="both"/>
        <w:rPr>
          <w:rFonts w:ascii="Calibri" w:eastAsia="Calibri" w:hAnsi="Calibri" w:cs="Calibri"/>
        </w:rPr>
      </w:pPr>
    </w:p>
    <w:p w:rsidR="004024A5" w:rsidRPr="00E03343" w:rsidRDefault="004024A5" w:rsidP="00930D98">
      <w:pPr>
        <w:pStyle w:val="ListParagraph"/>
        <w:ind w:left="1440"/>
        <w:jc w:val="both"/>
        <w:rPr>
          <w:rFonts w:ascii="Calibri" w:eastAsia="Calibri" w:hAnsi="Calibri" w:cs="Calibri"/>
        </w:rPr>
      </w:pPr>
      <w:r w:rsidRPr="00E03343">
        <w:rPr>
          <w:rFonts w:ascii="Calibri" w:eastAsia="Calibri" w:hAnsi="Calibri" w:cs="Calibri"/>
        </w:rPr>
        <w:t>We plan to set our budget before the end of the financial year</w:t>
      </w:r>
      <w:r w:rsidR="00762F87" w:rsidRPr="00E03343">
        <w:rPr>
          <w:rFonts w:ascii="Calibri" w:eastAsia="Calibri" w:hAnsi="Calibri" w:cs="Calibri"/>
        </w:rPr>
        <w:t xml:space="preserve"> and to consult regularly with the Estate Manager and the Finance Officer in order to</w:t>
      </w:r>
      <w:r w:rsidRPr="00E03343">
        <w:rPr>
          <w:rFonts w:ascii="Calibri" w:eastAsia="Calibri" w:hAnsi="Calibri" w:cs="Calibri"/>
        </w:rPr>
        <w:t xml:space="preserve"> monitor our finances every month</w:t>
      </w:r>
      <w:r w:rsidR="00762F87" w:rsidRPr="00E03343">
        <w:rPr>
          <w:rFonts w:ascii="Calibri" w:eastAsia="Calibri" w:hAnsi="Calibri" w:cs="Calibri"/>
        </w:rPr>
        <w:t>.</w:t>
      </w:r>
    </w:p>
    <w:p w:rsidR="004024A5" w:rsidRPr="00E03343" w:rsidRDefault="004024A5" w:rsidP="00930D98">
      <w:pPr>
        <w:pStyle w:val="ListParagraph"/>
        <w:ind w:left="1440"/>
        <w:jc w:val="both"/>
        <w:rPr>
          <w:rFonts w:ascii="Calibri" w:eastAsia="Calibri" w:hAnsi="Calibri" w:cs="Calibri"/>
        </w:rPr>
      </w:pPr>
    </w:p>
    <w:p w:rsidR="00762F87" w:rsidRPr="00E03343" w:rsidRDefault="004024A5" w:rsidP="00ED3A64">
      <w:pPr>
        <w:pStyle w:val="ListParagraph"/>
        <w:ind w:left="1440"/>
        <w:jc w:val="both"/>
        <w:rPr>
          <w:rFonts w:ascii="Calibri" w:eastAsia="Calibri" w:hAnsi="Calibri" w:cs="Calibri"/>
        </w:rPr>
      </w:pPr>
      <w:r w:rsidRPr="00E03343">
        <w:rPr>
          <w:rFonts w:ascii="Calibri" w:eastAsia="Calibri" w:hAnsi="Calibri" w:cs="Calibri"/>
        </w:rPr>
        <w:t>We want to ensure that all finance reports and associated papers are submitted in a user-friendly format.</w:t>
      </w:r>
    </w:p>
    <w:p w:rsidR="00457865" w:rsidRPr="00EB06DA" w:rsidRDefault="001831A7" w:rsidP="00930D98">
      <w:pPr>
        <w:pStyle w:val="ListParagraph"/>
        <w:numPr>
          <w:ilvl w:val="0"/>
          <w:numId w:val="5"/>
        </w:numPr>
        <w:jc w:val="both"/>
        <w:rPr>
          <w:b/>
          <w:sz w:val="24"/>
          <w:szCs w:val="24"/>
        </w:rPr>
      </w:pPr>
      <w:r w:rsidRPr="00EB06DA">
        <w:rPr>
          <w:b/>
          <w:sz w:val="24"/>
          <w:szCs w:val="24"/>
        </w:rPr>
        <w:t>Strategies</w:t>
      </w:r>
      <w:r w:rsidR="005F6F39" w:rsidRPr="00EB06DA">
        <w:rPr>
          <w:b/>
          <w:sz w:val="24"/>
          <w:szCs w:val="24"/>
        </w:rPr>
        <w:t xml:space="preserve"> and Action Plans</w:t>
      </w:r>
    </w:p>
    <w:p w:rsidR="00457865" w:rsidRPr="00E03343" w:rsidRDefault="00457865" w:rsidP="00930D98">
      <w:pPr>
        <w:pStyle w:val="ListParagraph"/>
        <w:ind w:left="360"/>
        <w:jc w:val="both"/>
      </w:pPr>
    </w:p>
    <w:p w:rsidR="00586E52" w:rsidRPr="00E03343" w:rsidRDefault="00457865" w:rsidP="00930D98">
      <w:pPr>
        <w:pStyle w:val="ListParagraph"/>
        <w:ind w:left="360"/>
        <w:jc w:val="both"/>
        <w:rPr>
          <w:rFonts w:ascii="Calibri" w:hAnsi="Calibri" w:cs="Calibri"/>
        </w:rPr>
      </w:pPr>
      <w:r w:rsidRPr="00E03343">
        <w:rPr>
          <w:rFonts w:ascii="Calibri" w:hAnsi="Calibri" w:cs="Calibri"/>
        </w:rPr>
        <w:t>KSHC has set the key objectives for the period 2017-2022 in Paragraph</w:t>
      </w:r>
      <w:r w:rsidR="0003661D" w:rsidRPr="00E03343">
        <w:rPr>
          <w:rFonts w:ascii="Calibri" w:hAnsi="Calibri" w:cs="Calibri"/>
        </w:rPr>
        <w:t xml:space="preserve"> 3.3 of this</w:t>
      </w:r>
      <w:r w:rsidRPr="00E03343">
        <w:rPr>
          <w:rFonts w:ascii="Calibri" w:hAnsi="Calibri" w:cs="Calibri"/>
        </w:rPr>
        <w:t xml:space="preserve"> Business Plan. In this Section </w:t>
      </w:r>
      <w:r w:rsidR="0003661D" w:rsidRPr="00E03343">
        <w:rPr>
          <w:rFonts w:ascii="Calibri" w:hAnsi="Calibri" w:cs="Calibri"/>
        </w:rPr>
        <w:t xml:space="preserve">4 </w:t>
      </w:r>
      <w:r w:rsidRPr="00E03343">
        <w:rPr>
          <w:rFonts w:ascii="Calibri" w:hAnsi="Calibri" w:cs="Calibri"/>
        </w:rPr>
        <w:t>we detail how we plan to turn words into actions and how we intend to identify what needs to be done and where to direct our efforts.</w:t>
      </w:r>
    </w:p>
    <w:p w:rsidR="00586E52" w:rsidRPr="00E03343" w:rsidRDefault="00586E52" w:rsidP="00930D98">
      <w:pPr>
        <w:pStyle w:val="ListParagraph"/>
        <w:ind w:left="360"/>
        <w:jc w:val="both"/>
        <w:rPr>
          <w:rFonts w:ascii="Calibri" w:hAnsi="Calibri" w:cs="Calibri"/>
        </w:rPr>
      </w:pPr>
    </w:p>
    <w:p w:rsidR="00586E52" w:rsidRPr="00E03343" w:rsidRDefault="00457865" w:rsidP="00930D98">
      <w:pPr>
        <w:pStyle w:val="ListParagraph"/>
        <w:ind w:left="360"/>
        <w:jc w:val="both"/>
        <w:rPr>
          <w:rFonts w:ascii="Calibri" w:hAnsi="Calibri" w:cs="Calibri"/>
        </w:rPr>
      </w:pPr>
      <w:r w:rsidRPr="00E03343">
        <w:rPr>
          <w:rFonts w:ascii="Calibri" w:hAnsi="Calibri" w:cs="Calibri"/>
        </w:rPr>
        <w:t>In particular, the following tables capture the key strategies and actions targeted at achieving our strategic objectives.</w:t>
      </w:r>
      <w:r w:rsidR="00586E52" w:rsidRPr="00E03343">
        <w:rPr>
          <w:rFonts w:ascii="Calibri" w:hAnsi="Calibri" w:cs="Calibri"/>
        </w:rPr>
        <w:t xml:space="preserve"> By setting targets we will have something to aim for and we will be able to measure our performance and achievements.</w:t>
      </w:r>
      <w:r w:rsidRPr="00E03343">
        <w:rPr>
          <w:rFonts w:ascii="Calibri" w:hAnsi="Calibri" w:cs="Calibri"/>
        </w:rPr>
        <w:t xml:space="preserve"> </w:t>
      </w:r>
      <w:r w:rsidR="00586E52" w:rsidRPr="00E03343">
        <w:rPr>
          <w:rFonts w:ascii="Calibri" w:hAnsi="Calibri" w:cs="Calibri"/>
        </w:rPr>
        <w:t>Each target has been selected according to the SMART criteria:</w:t>
      </w:r>
    </w:p>
    <w:p w:rsidR="00586E52" w:rsidRPr="00E03343" w:rsidRDefault="00586E52" w:rsidP="00930D98">
      <w:pPr>
        <w:pStyle w:val="ListParagraph"/>
        <w:ind w:left="360"/>
        <w:jc w:val="both"/>
        <w:rPr>
          <w:rFonts w:ascii="Calibri" w:hAnsi="Calibri" w:cs="Calibri"/>
        </w:rPr>
      </w:pPr>
    </w:p>
    <w:p w:rsidR="00586E52" w:rsidRPr="00E03343" w:rsidRDefault="00586E52" w:rsidP="00930D98">
      <w:pPr>
        <w:pStyle w:val="ListParagraph"/>
        <w:ind w:left="360"/>
        <w:jc w:val="both"/>
        <w:rPr>
          <w:rFonts w:ascii="Calibri" w:hAnsi="Calibri" w:cs="Calibri"/>
        </w:rPr>
      </w:pPr>
      <w:r w:rsidRPr="00E03343">
        <w:rPr>
          <w:rFonts w:ascii="Calibri" w:hAnsi="Calibri" w:cs="Calibri"/>
          <w:b/>
        </w:rPr>
        <w:t>S</w:t>
      </w:r>
      <w:r w:rsidRPr="00E03343">
        <w:rPr>
          <w:rFonts w:ascii="Calibri" w:hAnsi="Calibri" w:cs="Calibri"/>
        </w:rPr>
        <w:t>PECIFIC: the target is clear and precise.</w:t>
      </w:r>
    </w:p>
    <w:p w:rsidR="00586E52" w:rsidRPr="00E03343" w:rsidRDefault="00586E52" w:rsidP="00930D98">
      <w:pPr>
        <w:pStyle w:val="ListParagraph"/>
        <w:ind w:left="360"/>
        <w:jc w:val="both"/>
        <w:rPr>
          <w:rFonts w:ascii="Calibri" w:hAnsi="Calibri" w:cs="Calibri"/>
        </w:rPr>
      </w:pPr>
      <w:r w:rsidRPr="00E03343">
        <w:rPr>
          <w:rFonts w:ascii="Calibri" w:hAnsi="Calibri" w:cs="Calibri"/>
          <w:b/>
        </w:rPr>
        <w:t>M</w:t>
      </w:r>
      <w:r w:rsidRPr="00E03343">
        <w:rPr>
          <w:rFonts w:ascii="Calibri" w:hAnsi="Calibri" w:cs="Calibri"/>
        </w:rPr>
        <w:t>EASURABLE: we will be able to measure whatever we are trying to achieve.</w:t>
      </w:r>
    </w:p>
    <w:p w:rsidR="00586E52" w:rsidRPr="00E03343" w:rsidRDefault="00586E52" w:rsidP="00930D98">
      <w:pPr>
        <w:pStyle w:val="ListParagraph"/>
        <w:ind w:left="360"/>
        <w:jc w:val="both"/>
        <w:rPr>
          <w:rFonts w:ascii="Calibri" w:hAnsi="Calibri" w:cs="Calibri"/>
        </w:rPr>
      </w:pPr>
      <w:r w:rsidRPr="00E03343">
        <w:rPr>
          <w:rFonts w:ascii="Calibri" w:hAnsi="Calibri" w:cs="Calibri"/>
          <w:b/>
        </w:rPr>
        <w:t>A</w:t>
      </w:r>
      <w:r w:rsidRPr="00E03343">
        <w:rPr>
          <w:rFonts w:ascii="Calibri" w:hAnsi="Calibri" w:cs="Calibri"/>
        </w:rPr>
        <w:t>CHIEVABLE: while targets should be challenging they should also be attainable.</w:t>
      </w:r>
    </w:p>
    <w:p w:rsidR="00586E52" w:rsidRPr="00E03343" w:rsidRDefault="00586E52" w:rsidP="00930D98">
      <w:pPr>
        <w:pStyle w:val="ListParagraph"/>
        <w:ind w:left="360"/>
        <w:jc w:val="both"/>
        <w:rPr>
          <w:rFonts w:ascii="Calibri" w:hAnsi="Calibri" w:cs="Calibri"/>
        </w:rPr>
      </w:pPr>
      <w:r w:rsidRPr="00E03343">
        <w:rPr>
          <w:rFonts w:ascii="Calibri" w:hAnsi="Calibri" w:cs="Calibri"/>
          <w:b/>
        </w:rPr>
        <w:t>R</w:t>
      </w:r>
      <w:r w:rsidRPr="00E03343">
        <w:rPr>
          <w:rFonts w:ascii="Calibri" w:hAnsi="Calibri" w:cs="Calibri"/>
        </w:rPr>
        <w:t>ELEVANT: targets are consistent with the objectives and strategies.</w:t>
      </w:r>
    </w:p>
    <w:p w:rsidR="00586E52" w:rsidRPr="00E03343" w:rsidRDefault="00586E52" w:rsidP="00930D98">
      <w:pPr>
        <w:pStyle w:val="ListParagraph"/>
        <w:ind w:left="360"/>
        <w:jc w:val="both"/>
        <w:rPr>
          <w:rFonts w:ascii="Calibri" w:hAnsi="Calibri" w:cs="Calibri"/>
        </w:rPr>
      </w:pPr>
      <w:r w:rsidRPr="00E03343">
        <w:rPr>
          <w:rFonts w:ascii="Calibri" w:hAnsi="Calibri" w:cs="Calibri"/>
          <w:b/>
        </w:rPr>
        <w:t>T</w:t>
      </w:r>
      <w:r w:rsidRPr="00E03343">
        <w:rPr>
          <w:rFonts w:ascii="Calibri" w:hAnsi="Calibri" w:cs="Calibri"/>
        </w:rPr>
        <w:t>IME FRAMED: actions and targets have a date by which they need to be achieved.</w:t>
      </w:r>
    </w:p>
    <w:p w:rsidR="00586E52" w:rsidRPr="00E03343" w:rsidRDefault="00586E52" w:rsidP="00930D98">
      <w:pPr>
        <w:pStyle w:val="ListParagraph"/>
        <w:ind w:left="360"/>
        <w:jc w:val="both"/>
        <w:rPr>
          <w:rFonts w:ascii="Calibri" w:hAnsi="Calibri" w:cs="Calibri"/>
        </w:rPr>
      </w:pPr>
    </w:p>
    <w:p w:rsidR="00457865" w:rsidRPr="00E03343" w:rsidRDefault="00457865" w:rsidP="00930D98">
      <w:pPr>
        <w:pStyle w:val="ListParagraph"/>
        <w:ind w:left="360"/>
        <w:jc w:val="both"/>
        <w:rPr>
          <w:rFonts w:ascii="Calibri" w:hAnsi="Calibri" w:cs="Calibri"/>
        </w:rPr>
      </w:pPr>
      <w:r w:rsidRPr="00E03343">
        <w:rPr>
          <w:rFonts w:ascii="Calibri" w:hAnsi="Calibri" w:cs="Calibri"/>
        </w:rPr>
        <w:t>The Board will oversee and monitor the action plans designed to ensure that the TMO can realise these objectives.</w:t>
      </w:r>
    </w:p>
    <w:p w:rsidR="00457865" w:rsidRPr="00E03343" w:rsidRDefault="00457865" w:rsidP="00930D98">
      <w:pPr>
        <w:pStyle w:val="ListParagraph"/>
        <w:ind w:left="360"/>
        <w:jc w:val="both"/>
        <w:rPr>
          <w:rFonts w:ascii="Calibri" w:hAnsi="Calibri" w:cs="Calibri"/>
        </w:rPr>
      </w:pPr>
    </w:p>
    <w:tbl>
      <w:tblPr>
        <w:tblStyle w:val="TableGrid"/>
        <w:tblW w:w="0" w:type="auto"/>
        <w:tblInd w:w="360" w:type="dxa"/>
        <w:tblLook w:val="04A0" w:firstRow="1" w:lastRow="0" w:firstColumn="1" w:lastColumn="0" w:noHBand="0" w:noVBand="1"/>
      </w:tblPr>
      <w:tblGrid>
        <w:gridCol w:w="4634"/>
        <w:gridCol w:w="4634"/>
      </w:tblGrid>
      <w:tr w:rsidR="00457865" w:rsidRPr="00E03343" w:rsidTr="009D311D">
        <w:tc>
          <w:tcPr>
            <w:tcW w:w="9268" w:type="dxa"/>
            <w:gridSpan w:val="2"/>
          </w:tcPr>
          <w:p w:rsidR="00457865" w:rsidRPr="00E03343" w:rsidRDefault="00457865" w:rsidP="00930D98">
            <w:pPr>
              <w:pStyle w:val="ListParagraph"/>
              <w:ind w:left="0"/>
              <w:jc w:val="both"/>
              <w:rPr>
                <w:rFonts w:ascii="Calibri" w:hAnsi="Calibri" w:cs="Calibri"/>
                <w:b/>
              </w:rPr>
            </w:pPr>
            <w:r w:rsidRPr="00E03343">
              <w:rPr>
                <w:rFonts w:ascii="Calibri" w:hAnsi="Calibri" w:cs="Calibri"/>
                <w:b/>
              </w:rPr>
              <w:t>IMPLEMENTATION PLANNING (STRATEGIC LEVEL)</w:t>
            </w:r>
          </w:p>
        </w:tc>
      </w:tr>
      <w:tr w:rsidR="00887D83" w:rsidRPr="00E03343" w:rsidTr="009D311D">
        <w:tc>
          <w:tcPr>
            <w:tcW w:w="9268" w:type="dxa"/>
            <w:gridSpan w:val="2"/>
          </w:tcPr>
          <w:p w:rsidR="00887D83" w:rsidRPr="00E03343" w:rsidRDefault="00887D83" w:rsidP="00930D98">
            <w:pPr>
              <w:pStyle w:val="ListParagraph"/>
              <w:ind w:left="0"/>
              <w:jc w:val="both"/>
              <w:rPr>
                <w:rFonts w:ascii="Calibri" w:hAnsi="Calibri" w:cs="Calibri"/>
                <w:b/>
              </w:rPr>
            </w:pPr>
          </w:p>
        </w:tc>
      </w:tr>
      <w:tr w:rsidR="00457865" w:rsidRPr="00E03343" w:rsidTr="009D311D">
        <w:tc>
          <w:tcPr>
            <w:tcW w:w="9268" w:type="dxa"/>
            <w:gridSpan w:val="2"/>
          </w:tcPr>
          <w:p w:rsidR="00457865" w:rsidRPr="00E03343" w:rsidRDefault="00B7570C" w:rsidP="00930D98">
            <w:pPr>
              <w:pStyle w:val="ListParagraph"/>
              <w:ind w:left="0"/>
              <w:jc w:val="both"/>
              <w:rPr>
                <w:rFonts w:ascii="Calibri" w:hAnsi="Calibri" w:cs="Calibri"/>
                <w:b/>
              </w:rPr>
            </w:pPr>
            <w:r w:rsidRPr="00E03343">
              <w:rPr>
                <w:rFonts w:ascii="Calibri" w:hAnsi="Calibri" w:cs="Calibri"/>
                <w:b/>
              </w:rPr>
              <w:t xml:space="preserve">4.1 </w:t>
            </w:r>
            <w:r w:rsidR="00457865" w:rsidRPr="00EB06DA">
              <w:rPr>
                <w:rFonts w:ascii="Calibri" w:hAnsi="Calibri" w:cs="Calibri"/>
                <w:b/>
                <w:u w:val="single"/>
              </w:rPr>
              <w:t>Community</w:t>
            </w:r>
            <w:r w:rsidR="00457865" w:rsidRPr="00E03343">
              <w:rPr>
                <w:rFonts w:ascii="Calibri" w:hAnsi="Calibri" w:cs="Calibri"/>
                <w:b/>
              </w:rPr>
              <w:t xml:space="preserve"> strategy – </w:t>
            </w:r>
            <w:r w:rsidRPr="00E03343">
              <w:rPr>
                <w:b/>
              </w:rPr>
              <w:t xml:space="preserve">Improve and create a positive, welcoming and healthy community </w:t>
            </w:r>
          </w:p>
        </w:tc>
      </w:tr>
      <w:tr w:rsidR="00457865" w:rsidRPr="00E03343" w:rsidTr="009D311D">
        <w:tc>
          <w:tcPr>
            <w:tcW w:w="4634" w:type="dxa"/>
          </w:tcPr>
          <w:p w:rsidR="00457865" w:rsidRPr="00E03343" w:rsidRDefault="00457865" w:rsidP="00930D98">
            <w:pPr>
              <w:pStyle w:val="ListParagraph"/>
              <w:ind w:left="0"/>
              <w:jc w:val="both"/>
              <w:rPr>
                <w:i/>
              </w:rPr>
            </w:pPr>
            <w:r w:rsidRPr="00E03343">
              <w:rPr>
                <w:i/>
              </w:rPr>
              <w:t>STRATEGY</w:t>
            </w:r>
          </w:p>
        </w:tc>
        <w:tc>
          <w:tcPr>
            <w:tcW w:w="4634" w:type="dxa"/>
          </w:tcPr>
          <w:p w:rsidR="00457865" w:rsidRPr="00E03343" w:rsidRDefault="00457865" w:rsidP="00930D98">
            <w:pPr>
              <w:pStyle w:val="ListParagraph"/>
              <w:ind w:left="0"/>
              <w:jc w:val="both"/>
              <w:rPr>
                <w:i/>
              </w:rPr>
            </w:pPr>
            <w:r w:rsidRPr="00E03343">
              <w:rPr>
                <w:i/>
              </w:rPr>
              <w:t>KEY ACTIONS</w:t>
            </w:r>
          </w:p>
        </w:tc>
      </w:tr>
      <w:tr w:rsidR="00457865" w:rsidRPr="00E03343" w:rsidTr="009D311D">
        <w:tc>
          <w:tcPr>
            <w:tcW w:w="4634" w:type="dxa"/>
          </w:tcPr>
          <w:p w:rsidR="00457865" w:rsidRPr="00E03343" w:rsidRDefault="00B7570C"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Develop and implement a communications strategy by December 2018.</w:t>
            </w:r>
          </w:p>
        </w:tc>
        <w:tc>
          <w:tcPr>
            <w:tcW w:w="4634" w:type="dxa"/>
          </w:tcPr>
          <w:p w:rsidR="00B7570C" w:rsidRPr="00E03343" w:rsidRDefault="00B7570C"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Map out the TMOs stakeholders.</w:t>
            </w:r>
          </w:p>
          <w:p w:rsidR="00B7570C" w:rsidRPr="00E03343" w:rsidRDefault="00B7570C" w:rsidP="00930D98">
            <w:pPr>
              <w:pStyle w:val="Default"/>
              <w:jc w:val="both"/>
              <w:rPr>
                <w:rFonts w:asciiTheme="minorHAnsi" w:hAnsiTheme="minorHAnsi" w:cstheme="minorBidi"/>
                <w:color w:val="auto"/>
                <w:sz w:val="22"/>
                <w:szCs w:val="22"/>
              </w:rPr>
            </w:pPr>
          </w:p>
          <w:p w:rsidR="00B7570C" w:rsidRPr="00E03343" w:rsidRDefault="00B7570C"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Liaise with stakeholders to establish their priorities and plans relating to the estate.</w:t>
            </w:r>
          </w:p>
          <w:p w:rsidR="00B7570C" w:rsidRPr="00E03343" w:rsidRDefault="00B7570C" w:rsidP="00930D98">
            <w:pPr>
              <w:pStyle w:val="Default"/>
              <w:jc w:val="both"/>
              <w:rPr>
                <w:rFonts w:asciiTheme="minorHAnsi" w:hAnsiTheme="minorHAnsi" w:cstheme="minorBidi"/>
                <w:color w:val="auto"/>
                <w:sz w:val="22"/>
                <w:szCs w:val="22"/>
              </w:rPr>
            </w:pPr>
          </w:p>
          <w:p w:rsidR="00457865" w:rsidRPr="00E03343" w:rsidRDefault="008F2DF5" w:rsidP="00930D98">
            <w:pPr>
              <w:pStyle w:val="ListParagraph"/>
              <w:ind w:left="0"/>
              <w:jc w:val="both"/>
            </w:pPr>
            <w:r w:rsidRPr="00E03343">
              <w:t>Month</w:t>
            </w:r>
            <w:r w:rsidR="00B7570C" w:rsidRPr="00E03343">
              <w:t xml:space="preserve">ly newsletters; block letters and flyers; better use of website. </w:t>
            </w:r>
          </w:p>
        </w:tc>
      </w:tr>
      <w:tr w:rsidR="00457865" w:rsidRPr="00E03343" w:rsidTr="009D311D">
        <w:tc>
          <w:tcPr>
            <w:tcW w:w="4634" w:type="dxa"/>
          </w:tcPr>
          <w:p w:rsidR="00B7570C" w:rsidRPr="00E03343" w:rsidRDefault="00B7570C"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Bring innovative services to the estate which promote health &amp; wellbeing.</w:t>
            </w:r>
          </w:p>
          <w:p w:rsidR="00457865" w:rsidRPr="00E03343" w:rsidRDefault="00457865" w:rsidP="00930D98">
            <w:pPr>
              <w:pStyle w:val="ListParagraph"/>
              <w:ind w:left="0"/>
              <w:jc w:val="both"/>
            </w:pPr>
          </w:p>
        </w:tc>
        <w:tc>
          <w:tcPr>
            <w:tcW w:w="4634" w:type="dxa"/>
          </w:tcPr>
          <w:p w:rsidR="00B7570C" w:rsidRPr="00E03343" w:rsidRDefault="00B7570C"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Work in partnership with local healthcare partners to map out community needs and promote health initiatives.</w:t>
            </w:r>
          </w:p>
          <w:p w:rsidR="0003661D" w:rsidRPr="00E03343" w:rsidRDefault="0003661D" w:rsidP="00930D98">
            <w:pPr>
              <w:pStyle w:val="Default"/>
              <w:jc w:val="both"/>
              <w:rPr>
                <w:rFonts w:asciiTheme="minorHAnsi" w:hAnsiTheme="minorHAnsi" w:cstheme="minorBidi"/>
                <w:color w:val="auto"/>
                <w:sz w:val="22"/>
                <w:szCs w:val="22"/>
              </w:rPr>
            </w:pPr>
          </w:p>
          <w:p w:rsidR="00457865" w:rsidRPr="00E03343" w:rsidRDefault="0003661D" w:rsidP="00930D98">
            <w:pPr>
              <w:jc w:val="both"/>
            </w:pPr>
            <w:r w:rsidRPr="00E03343">
              <w:rPr>
                <w:rFonts w:ascii="Calibri" w:eastAsia="Calibri" w:hAnsi="Calibri" w:cs="Calibri"/>
              </w:rPr>
              <w:t>I</w:t>
            </w:r>
            <w:r w:rsidRPr="00E03343">
              <w:t>nvest in apprenticeship schemes for young residents and develop new activities for the elder.</w:t>
            </w:r>
          </w:p>
        </w:tc>
      </w:tr>
      <w:tr w:rsidR="00B7570C" w:rsidRPr="00E03343" w:rsidTr="009D311D">
        <w:tc>
          <w:tcPr>
            <w:tcW w:w="4634" w:type="dxa"/>
          </w:tcPr>
          <w:p w:rsidR="00B7570C" w:rsidRPr="00E03343" w:rsidRDefault="00B7570C"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 xml:space="preserve">Continuously raise the level of awareness of the TMO and its services with key stakeholders. </w:t>
            </w:r>
          </w:p>
          <w:p w:rsidR="00B7570C" w:rsidRPr="00E03343" w:rsidRDefault="00B7570C" w:rsidP="00930D98">
            <w:pPr>
              <w:pStyle w:val="Default"/>
              <w:jc w:val="both"/>
              <w:rPr>
                <w:rFonts w:asciiTheme="minorHAnsi" w:hAnsiTheme="minorHAnsi" w:cstheme="minorBidi"/>
                <w:color w:val="auto"/>
                <w:sz w:val="22"/>
                <w:szCs w:val="22"/>
              </w:rPr>
            </w:pPr>
          </w:p>
        </w:tc>
        <w:tc>
          <w:tcPr>
            <w:tcW w:w="4634" w:type="dxa"/>
          </w:tcPr>
          <w:p w:rsidR="00B7570C" w:rsidRPr="00E03343" w:rsidRDefault="00B7570C"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Complete stakeholder mapping.</w:t>
            </w:r>
          </w:p>
          <w:p w:rsidR="00B7570C" w:rsidRPr="00E03343" w:rsidRDefault="00B7570C" w:rsidP="00930D98">
            <w:pPr>
              <w:pStyle w:val="Default"/>
              <w:jc w:val="both"/>
              <w:rPr>
                <w:rFonts w:asciiTheme="minorHAnsi" w:hAnsiTheme="minorHAnsi" w:cstheme="minorBidi"/>
                <w:color w:val="auto"/>
                <w:sz w:val="22"/>
                <w:szCs w:val="22"/>
              </w:rPr>
            </w:pPr>
          </w:p>
          <w:p w:rsidR="00B7570C" w:rsidRPr="00E03343" w:rsidRDefault="00B7570C"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 xml:space="preserve">Undertake liaison visits with key stakeholders. </w:t>
            </w:r>
          </w:p>
        </w:tc>
      </w:tr>
      <w:tr w:rsidR="00B7570C" w:rsidRPr="00E03343" w:rsidTr="009D311D">
        <w:tc>
          <w:tcPr>
            <w:tcW w:w="4634" w:type="dxa"/>
          </w:tcPr>
          <w:p w:rsidR="00B7570C" w:rsidRPr="00E03343" w:rsidRDefault="00B7570C"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 xml:space="preserve">To improve awareness of the TMO’s provision to ensure residents recognition of its services – complete survey of estate residents by December 2018. </w:t>
            </w:r>
          </w:p>
          <w:p w:rsidR="00B7570C" w:rsidRPr="00E03343" w:rsidRDefault="00B7570C" w:rsidP="00930D98">
            <w:pPr>
              <w:pStyle w:val="Default"/>
              <w:jc w:val="both"/>
              <w:rPr>
                <w:rFonts w:asciiTheme="minorHAnsi" w:hAnsiTheme="minorHAnsi" w:cstheme="minorBidi"/>
                <w:color w:val="auto"/>
                <w:sz w:val="22"/>
                <w:szCs w:val="22"/>
              </w:rPr>
            </w:pPr>
          </w:p>
        </w:tc>
        <w:tc>
          <w:tcPr>
            <w:tcW w:w="4634" w:type="dxa"/>
          </w:tcPr>
          <w:p w:rsidR="00B7570C" w:rsidRPr="00E03343" w:rsidRDefault="00B7570C"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Undertake survey of estate residents.</w:t>
            </w:r>
          </w:p>
          <w:p w:rsidR="00B7570C" w:rsidRPr="00E03343" w:rsidRDefault="00B7570C" w:rsidP="00930D98">
            <w:pPr>
              <w:pStyle w:val="Default"/>
              <w:jc w:val="both"/>
              <w:rPr>
                <w:rFonts w:asciiTheme="minorHAnsi" w:hAnsiTheme="minorHAnsi" w:cstheme="minorBidi"/>
                <w:color w:val="auto"/>
                <w:sz w:val="22"/>
                <w:szCs w:val="22"/>
              </w:rPr>
            </w:pPr>
          </w:p>
          <w:p w:rsidR="00B7570C" w:rsidRPr="00E03343" w:rsidRDefault="00B7570C"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Undertake questionnaire survey to establish resident’s awareness of TMO and Council provided services.</w:t>
            </w:r>
          </w:p>
        </w:tc>
      </w:tr>
      <w:tr w:rsidR="00887D83" w:rsidRPr="00E03343" w:rsidTr="009D311D">
        <w:tc>
          <w:tcPr>
            <w:tcW w:w="9268" w:type="dxa"/>
            <w:gridSpan w:val="2"/>
          </w:tcPr>
          <w:p w:rsidR="00887D83" w:rsidRPr="00E03343" w:rsidRDefault="00887D83" w:rsidP="00930D98">
            <w:pPr>
              <w:pStyle w:val="Default"/>
              <w:jc w:val="both"/>
              <w:rPr>
                <w:rFonts w:asciiTheme="minorHAnsi" w:hAnsiTheme="minorHAnsi" w:cstheme="minorBidi"/>
                <w:color w:val="auto"/>
                <w:sz w:val="22"/>
                <w:szCs w:val="22"/>
              </w:rPr>
            </w:pPr>
          </w:p>
        </w:tc>
      </w:tr>
      <w:tr w:rsidR="00B7570C" w:rsidRPr="00E03343" w:rsidTr="009D311D">
        <w:tc>
          <w:tcPr>
            <w:tcW w:w="9268" w:type="dxa"/>
            <w:gridSpan w:val="2"/>
          </w:tcPr>
          <w:p w:rsidR="00B7570C" w:rsidRPr="00E03343" w:rsidRDefault="00F9191E" w:rsidP="00930D98">
            <w:pPr>
              <w:pStyle w:val="Default"/>
              <w:jc w:val="both"/>
              <w:rPr>
                <w:b/>
                <w:sz w:val="22"/>
                <w:szCs w:val="22"/>
              </w:rPr>
            </w:pPr>
            <w:r w:rsidRPr="00E03343">
              <w:rPr>
                <w:b/>
                <w:sz w:val="22"/>
                <w:szCs w:val="22"/>
              </w:rPr>
              <w:t xml:space="preserve">4.2 </w:t>
            </w:r>
            <w:r w:rsidRPr="00EB06DA">
              <w:rPr>
                <w:b/>
                <w:sz w:val="22"/>
                <w:szCs w:val="22"/>
                <w:u w:val="single"/>
              </w:rPr>
              <w:t>Organisation &amp; governance</w:t>
            </w:r>
            <w:r w:rsidRPr="00E03343">
              <w:rPr>
                <w:b/>
                <w:sz w:val="22"/>
                <w:szCs w:val="22"/>
              </w:rPr>
              <w:t xml:space="preserve"> strategy – Maintain a strong, strategically focused board, providing clear leadership and direction</w:t>
            </w:r>
          </w:p>
        </w:tc>
      </w:tr>
      <w:tr w:rsidR="00F9191E" w:rsidRPr="00E03343" w:rsidTr="009D311D">
        <w:tc>
          <w:tcPr>
            <w:tcW w:w="4634" w:type="dxa"/>
          </w:tcPr>
          <w:p w:rsidR="00F9191E" w:rsidRPr="00E03343" w:rsidRDefault="00F9191E" w:rsidP="00930D98">
            <w:pPr>
              <w:pStyle w:val="ListParagraph"/>
              <w:ind w:left="0"/>
              <w:jc w:val="both"/>
              <w:rPr>
                <w:i/>
              </w:rPr>
            </w:pPr>
            <w:r w:rsidRPr="00E03343">
              <w:rPr>
                <w:i/>
              </w:rPr>
              <w:t>STRATEGY</w:t>
            </w:r>
          </w:p>
        </w:tc>
        <w:tc>
          <w:tcPr>
            <w:tcW w:w="4634" w:type="dxa"/>
          </w:tcPr>
          <w:p w:rsidR="00F9191E" w:rsidRPr="00E03343" w:rsidRDefault="00F9191E" w:rsidP="00930D98">
            <w:pPr>
              <w:pStyle w:val="ListParagraph"/>
              <w:ind w:left="0"/>
              <w:jc w:val="both"/>
              <w:rPr>
                <w:i/>
              </w:rPr>
            </w:pPr>
            <w:r w:rsidRPr="00E03343">
              <w:rPr>
                <w:i/>
              </w:rPr>
              <w:t>KEY ACTIONS</w:t>
            </w:r>
          </w:p>
        </w:tc>
      </w:tr>
      <w:tr w:rsidR="00F9191E" w:rsidRPr="00E03343" w:rsidTr="009D311D">
        <w:tc>
          <w:tcPr>
            <w:tcW w:w="4634" w:type="dxa"/>
          </w:tcPr>
          <w:p w:rsidR="00F9191E" w:rsidRPr="00E03343" w:rsidRDefault="00F9191E"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 xml:space="preserve">Ensure the Management Board is well supported and informed – undertaking an annual self-assessment by Board Members in September annually. </w:t>
            </w:r>
          </w:p>
        </w:tc>
        <w:tc>
          <w:tcPr>
            <w:tcW w:w="4634" w:type="dxa"/>
          </w:tcPr>
          <w:p w:rsidR="00F9191E" w:rsidRPr="00E03343" w:rsidRDefault="00F9191E"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Complete board member self-assessment to establish ‘gap analysis’ against key capabilities.</w:t>
            </w:r>
          </w:p>
        </w:tc>
      </w:tr>
      <w:tr w:rsidR="00F9191E" w:rsidRPr="00E03343" w:rsidTr="009D311D">
        <w:tc>
          <w:tcPr>
            <w:tcW w:w="4634" w:type="dxa"/>
          </w:tcPr>
          <w:p w:rsidR="00F9191E" w:rsidRPr="00E03343" w:rsidRDefault="00F9191E"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 xml:space="preserve">Improve board capacity, knowledge and experience through training and skills development. </w:t>
            </w:r>
          </w:p>
        </w:tc>
        <w:tc>
          <w:tcPr>
            <w:tcW w:w="4634" w:type="dxa"/>
          </w:tcPr>
          <w:p w:rsidR="00F9191E" w:rsidRPr="00E03343" w:rsidRDefault="00F9191E"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Undertake individual and board-wide training needs analysis.</w:t>
            </w:r>
          </w:p>
          <w:p w:rsidR="00F9191E" w:rsidRPr="00E03343" w:rsidRDefault="00F9191E" w:rsidP="00930D98">
            <w:pPr>
              <w:pStyle w:val="Default"/>
              <w:jc w:val="both"/>
              <w:rPr>
                <w:rFonts w:asciiTheme="minorHAnsi" w:hAnsiTheme="minorHAnsi" w:cstheme="minorBidi"/>
                <w:color w:val="auto"/>
                <w:sz w:val="22"/>
                <w:szCs w:val="22"/>
              </w:rPr>
            </w:pPr>
          </w:p>
          <w:p w:rsidR="00F9191E" w:rsidRPr="00E03343" w:rsidRDefault="00F9191E"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Ensure all board members have completed training and development plans.</w:t>
            </w:r>
          </w:p>
          <w:p w:rsidR="00F9191E" w:rsidRPr="00E03343" w:rsidRDefault="00F9191E" w:rsidP="00930D98">
            <w:pPr>
              <w:pStyle w:val="Default"/>
              <w:jc w:val="both"/>
              <w:rPr>
                <w:rFonts w:asciiTheme="minorHAnsi" w:hAnsiTheme="minorHAnsi" w:cstheme="minorBidi"/>
                <w:color w:val="auto"/>
                <w:sz w:val="22"/>
                <w:szCs w:val="22"/>
              </w:rPr>
            </w:pPr>
          </w:p>
          <w:p w:rsidR="00F9191E" w:rsidRPr="00E03343" w:rsidRDefault="00F9191E"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Advertise training opportunities to board members.</w:t>
            </w:r>
          </w:p>
          <w:p w:rsidR="00F9191E" w:rsidRPr="00E03343" w:rsidRDefault="00F9191E" w:rsidP="00930D98">
            <w:pPr>
              <w:pStyle w:val="Default"/>
              <w:jc w:val="both"/>
              <w:rPr>
                <w:rFonts w:asciiTheme="minorHAnsi" w:hAnsiTheme="minorHAnsi" w:cstheme="minorBidi"/>
                <w:color w:val="auto"/>
                <w:sz w:val="22"/>
                <w:szCs w:val="22"/>
              </w:rPr>
            </w:pPr>
          </w:p>
          <w:p w:rsidR="00F9191E" w:rsidRPr="00E03343" w:rsidRDefault="00F9191E"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Monitor training spend as part of the financial reporting cycle to the board.</w:t>
            </w:r>
          </w:p>
        </w:tc>
      </w:tr>
      <w:tr w:rsidR="00F9191E" w:rsidRPr="00E03343" w:rsidTr="009D311D">
        <w:tc>
          <w:tcPr>
            <w:tcW w:w="4634" w:type="dxa"/>
          </w:tcPr>
          <w:p w:rsidR="00F9191E" w:rsidRPr="00E03343" w:rsidRDefault="00F9191E"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 xml:space="preserve">Ensure the TMO is constantly aware of its environment and with access to information that allows it to make strategic decisions – undertaking an annual self-assessment by Board members in September annually. </w:t>
            </w:r>
          </w:p>
        </w:tc>
        <w:tc>
          <w:tcPr>
            <w:tcW w:w="4634" w:type="dxa"/>
          </w:tcPr>
          <w:p w:rsidR="00F9191E" w:rsidRPr="00E03343" w:rsidRDefault="00F9191E"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 xml:space="preserve">Complete board member self-assessment to establish ‘gap analysis’ against key strategic decision criteria. </w:t>
            </w:r>
          </w:p>
        </w:tc>
      </w:tr>
      <w:tr w:rsidR="00887D83" w:rsidRPr="00E03343" w:rsidTr="009D311D">
        <w:tc>
          <w:tcPr>
            <w:tcW w:w="9268" w:type="dxa"/>
            <w:gridSpan w:val="2"/>
          </w:tcPr>
          <w:p w:rsidR="00887D83" w:rsidRPr="00E03343" w:rsidRDefault="00887D83" w:rsidP="00930D98">
            <w:pPr>
              <w:pStyle w:val="Default"/>
              <w:jc w:val="both"/>
              <w:rPr>
                <w:rFonts w:asciiTheme="minorHAnsi" w:hAnsiTheme="minorHAnsi" w:cstheme="minorBidi"/>
                <w:color w:val="auto"/>
                <w:sz w:val="22"/>
                <w:szCs w:val="22"/>
              </w:rPr>
            </w:pPr>
          </w:p>
        </w:tc>
      </w:tr>
      <w:tr w:rsidR="004B3A99" w:rsidRPr="00E03343" w:rsidTr="009D311D">
        <w:tc>
          <w:tcPr>
            <w:tcW w:w="9268" w:type="dxa"/>
            <w:gridSpan w:val="2"/>
          </w:tcPr>
          <w:p w:rsidR="004B3A99" w:rsidRPr="00E03343" w:rsidRDefault="004B3A99" w:rsidP="00930D98">
            <w:pPr>
              <w:pStyle w:val="Default"/>
              <w:jc w:val="both"/>
              <w:rPr>
                <w:b/>
                <w:sz w:val="22"/>
                <w:szCs w:val="22"/>
              </w:rPr>
            </w:pPr>
            <w:r w:rsidRPr="00E03343">
              <w:rPr>
                <w:b/>
                <w:sz w:val="22"/>
                <w:szCs w:val="22"/>
              </w:rPr>
              <w:t xml:space="preserve">4.3 </w:t>
            </w:r>
            <w:r w:rsidRPr="00EB06DA">
              <w:rPr>
                <w:b/>
                <w:sz w:val="22"/>
                <w:szCs w:val="22"/>
                <w:u w:val="single"/>
              </w:rPr>
              <w:t xml:space="preserve">Services </w:t>
            </w:r>
            <w:r w:rsidR="005F6F39" w:rsidRPr="00EB06DA">
              <w:rPr>
                <w:b/>
                <w:sz w:val="22"/>
                <w:szCs w:val="22"/>
                <w:u w:val="single"/>
              </w:rPr>
              <w:t>and project</w:t>
            </w:r>
            <w:r w:rsidR="005F6F39" w:rsidRPr="00E03343">
              <w:rPr>
                <w:b/>
                <w:sz w:val="22"/>
                <w:szCs w:val="22"/>
              </w:rPr>
              <w:t xml:space="preserve"> </w:t>
            </w:r>
            <w:r w:rsidRPr="00E03343">
              <w:rPr>
                <w:b/>
                <w:sz w:val="22"/>
                <w:szCs w:val="22"/>
              </w:rPr>
              <w:t>strategy – Provide high quality and responsive services which are valued by all our residents</w:t>
            </w:r>
          </w:p>
        </w:tc>
      </w:tr>
      <w:tr w:rsidR="004B3A99" w:rsidRPr="00E03343" w:rsidTr="009D311D">
        <w:tc>
          <w:tcPr>
            <w:tcW w:w="4634" w:type="dxa"/>
          </w:tcPr>
          <w:p w:rsidR="004B3A99" w:rsidRPr="00E03343" w:rsidRDefault="004B3A99" w:rsidP="00930D98">
            <w:pPr>
              <w:pStyle w:val="ListParagraph"/>
              <w:ind w:left="0"/>
              <w:jc w:val="both"/>
              <w:rPr>
                <w:i/>
              </w:rPr>
            </w:pPr>
            <w:r w:rsidRPr="00E03343">
              <w:rPr>
                <w:i/>
              </w:rPr>
              <w:t>STRATEGY</w:t>
            </w:r>
          </w:p>
        </w:tc>
        <w:tc>
          <w:tcPr>
            <w:tcW w:w="4634" w:type="dxa"/>
          </w:tcPr>
          <w:p w:rsidR="004B3A99" w:rsidRPr="00E03343" w:rsidRDefault="004B3A99" w:rsidP="00930D98">
            <w:pPr>
              <w:pStyle w:val="ListParagraph"/>
              <w:ind w:left="0"/>
              <w:jc w:val="both"/>
              <w:rPr>
                <w:i/>
              </w:rPr>
            </w:pPr>
            <w:r w:rsidRPr="00E03343">
              <w:rPr>
                <w:i/>
              </w:rPr>
              <w:t>KEY ACTIONS</w:t>
            </w:r>
          </w:p>
        </w:tc>
      </w:tr>
      <w:tr w:rsidR="004B3A99" w:rsidRPr="00E03343" w:rsidTr="009D311D">
        <w:tc>
          <w:tcPr>
            <w:tcW w:w="4634" w:type="dxa"/>
          </w:tcPr>
          <w:p w:rsidR="004B3A99" w:rsidRPr="00E03343" w:rsidRDefault="00E73650" w:rsidP="00E73650">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Achieve </w:t>
            </w:r>
            <w:r w:rsidR="004B3A99" w:rsidRPr="00E03343">
              <w:rPr>
                <w:rFonts w:asciiTheme="minorHAnsi" w:hAnsiTheme="minorHAnsi" w:cstheme="minorBidi"/>
                <w:color w:val="auto"/>
                <w:sz w:val="22"/>
                <w:szCs w:val="22"/>
              </w:rPr>
              <w:t>satisfaction rate with the TM</w:t>
            </w:r>
            <w:r w:rsidR="00914FE5">
              <w:rPr>
                <w:rFonts w:asciiTheme="minorHAnsi" w:hAnsiTheme="minorHAnsi" w:cstheme="minorBidi"/>
                <w:color w:val="auto"/>
                <w:sz w:val="22"/>
                <w:szCs w:val="22"/>
              </w:rPr>
              <w:t>O’s responsive</w:t>
            </w:r>
            <w:r>
              <w:rPr>
                <w:rFonts w:asciiTheme="minorHAnsi" w:hAnsiTheme="minorHAnsi" w:cstheme="minorBidi"/>
                <w:color w:val="auto"/>
                <w:sz w:val="22"/>
                <w:szCs w:val="22"/>
              </w:rPr>
              <w:t xml:space="preserve"> in house</w:t>
            </w:r>
            <w:r w:rsidR="00914FE5">
              <w:rPr>
                <w:rFonts w:asciiTheme="minorHAnsi" w:hAnsiTheme="minorHAnsi" w:cstheme="minorBidi"/>
                <w:color w:val="auto"/>
                <w:sz w:val="22"/>
                <w:szCs w:val="22"/>
              </w:rPr>
              <w:t xml:space="preserve"> repairs service.</w:t>
            </w:r>
          </w:p>
        </w:tc>
        <w:tc>
          <w:tcPr>
            <w:tcW w:w="4634" w:type="dxa"/>
          </w:tcPr>
          <w:p w:rsidR="004B3A99" w:rsidRPr="00E03343" w:rsidRDefault="004B3A99" w:rsidP="00930D98">
            <w:pPr>
              <w:pStyle w:val="Default"/>
              <w:jc w:val="both"/>
              <w:rPr>
                <w:rFonts w:asciiTheme="minorHAnsi" w:hAnsiTheme="minorHAnsi" w:cstheme="minorBidi"/>
                <w:color w:val="auto"/>
                <w:sz w:val="22"/>
                <w:szCs w:val="22"/>
              </w:rPr>
            </w:pPr>
            <w:r w:rsidRPr="00EB06DA">
              <w:rPr>
                <w:rFonts w:asciiTheme="minorHAnsi" w:hAnsiTheme="minorHAnsi" w:cstheme="minorBidi"/>
                <w:color w:val="auto"/>
                <w:sz w:val="22"/>
                <w:szCs w:val="22"/>
              </w:rPr>
              <w:t>internal</w:t>
            </w:r>
            <w:r w:rsidRPr="00E03343">
              <w:rPr>
                <w:rFonts w:asciiTheme="minorHAnsi" w:hAnsiTheme="minorHAnsi" w:cstheme="minorBidi"/>
                <w:color w:val="auto"/>
                <w:sz w:val="22"/>
                <w:szCs w:val="22"/>
              </w:rPr>
              <w:t xml:space="preserve"> repair </w:t>
            </w:r>
            <w:r w:rsidR="00E73650">
              <w:rPr>
                <w:rFonts w:asciiTheme="minorHAnsi" w:hAnsiTheme="minorHAnsi" w:cstheme="minorBidi"/>
                <w:color w:val="auto"/>
                <w:sz w:val="22"/>
                <w:szCs w:val="22"/>
              </w:rPr>
              <w:t xml:space="preserve">satisfaction </w:t>
            </w:r>
            <w:r w:rsidRPr="00E03343">
              <w:rPr>
                <w:rFonts w:asciiTheme="minorHAnsi" w:hAnsiTheme="minorHAnsi" w:cstheme="minorBidi"/>
                <w:color w:val="auto"/>
                <w:sz w:val="22"/>
                <w:szCs w:val="22"/>
              </w:rPr>
              <w:t xml:space="preserve">survey completed with outcome reported </w:t>
            </w:r>
            <w:r w:rsidR="00E73650">
              <w:rPr>
                <w:rFonts w:asciiTheme="minorHAnsi" w:hAnsiTheme="minorHAnsi" w:cstheme="minorBidi"/>
                <w:color w:val="auto"/>
                <w:sz w:val="22"/>
                <w:szCs w:val="22"/>
              </w:rPr>
              <w:t xml:space="preserve">to </w:t>
            </w:r>
            <w:r w:rsidRPr="00E03343">
              <w:rPr>
                <w:rFonts w:asciiTheme="minorHAnsi" w:hAnsiTheme="minorHAnsi" w:cstheme="minorBidi"/>
                <w:color w:val="auto"/>
                <w:sz w:val="22"/>
                <w:szCs w:val="22"/>
              </w:rPr>
              <w:t xml:space="preserve">the board </w:t>
            </w:r>
          </w:p>
          <w:p w:rsidR="004B3A99" w:rsidRPr="00E03343" w:rsidRDefault="004B3A99" w:rsidP="00930D98">
            <w:pPr>
              <w:pStyle w:val="Default"/>
              <w:jc w:val="both"/>
              <w:rPr>
                <w:rFonts w:asciiTheme="minorHAnsi" w:hAnsiTheme="minorHAnsi" w:cstheme="minorBidi"/>
                <w:color w:val="auto"/>
                <w:sz w:val="22"/>
                <w:szCs w:val="22"/>
              </w:rPr>
            </w:pPr>
          </w:p>
          <w:p w:rsidR="004B3A99" w:rsidRPr="00E03343" w:rsidRDefault="004B3A99" w:rsidP="00930D98">
            <w:pPr>
              <w:pStyle w:val="Default"/>
              <w:jc w:val="both"/>
              <w:rPr>
                <w:rFonts w:asciiTheme="minorHAnsi" w:hAnsiTheme="minorHAnsi" w:cstheme="minorBidi"/>
                <w:color w:val="auto"/>
                <w:sz w:val="22"/>
                <w:szCs w:val="22"/>
              </w:rPr>
            </w:pPr>
          </w:p>
        </w:tc>
      </w:tr>
      <w:tr w:rsidR="004B3A99" w:rsidRPr="00E03343" w:rsidTr="009D311D">
        <w:tc>
          <w:tcPr>
            <w:tcW w:w="4634" w:type="dxa"/>
          </w:tcPr>
          <w:p w:rsidR="004B3A99" w:rsidRPr="00E03343" w:rsidRDefault="004B3A99" w:rsidP="00E73650">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Aim to reduce the level of reported anti-social behaviour on t</w:t>
            </w:r>
            <w:r w:rsidR="00E73650">
              <w:rPr>
                <w:rFonts w:asciiTheme="minorHAnsi" w:hAnsiTheme="minorHAnsi" w:cstheme="minorBidi"/>
                <w:color w:val="auto"/>
                <w:sz w:val="22"/>
                <w:szCs w:val="22"/>
              </w:rPr>
              <w:t xml:space="preserve">he estate by 10% in 2017/18 </w:t>
            </w:r>
          </w:p>
        </w:tc>
        <w:tc>
          <w:tcPr>
            <w:tcW w:w="4634" w:type="dxa"/>
          </w:tcPr>
          <w:p w:rsidR="004B3A99" w:rsidRPr="00E03343" w:rsidRDefault="00E73650" w:rsidP="00930D98">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Continue working with the safer neighbourhood teams and </w:t>
            </w:r>
            <w:r w:rsidR="004B3A99" w:rsidRPr="00E03343">
              <w:rPr>
                <w:rFonts w:asciiTheme="minorHAnsi" w:hAnsiTheme="minorHAnsi" w:cstheme="minorBidi"/>
                <w:color w:val="auto"/>
                <w:sz w:val="22"/>
                <w:szCs w:val="22"/>
              </w:rPr>
              <w:t>external partners/agencies the TMO works with alleviate ASB related issues on the estate.</w:t>
            </w:r>
          </w:p>
          <w:p w:rsidR="004B3A99" w:rsidRPr="00E03343" w:rsidRDefault="004B3A99" w:rsidP="00930D98">
            <w:pPr>
              <w:pStyle w:val="Default"/>
              <w:jc w:val="both"/>
              <w:rPr>
                <w:rFonts w:asciiTheme="minorHAnsi" w:hAnsiTheme="minorHAnsi" w:cstheme="minorBidi"/>
                <w:color w:val="auto"/>
                <w:sz w:val="22"/>
                <w:szCs w:val="22"/>
              </w:rPr>
            </w:pPr>
          </w:p>
          <w:p w:rsidR="004B3A99" w:rsidRPr="00E03343" w:rsidRDefault="004B3A99"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Emphasise the TMO’s approach to ASB during the sign-up stage.</w:t>
            </w:r>
          </w:p>
          <w:p w:rsidR="004B3A99" w:rsidRPr="00E03343" w:rsidRDefault="004B3A99" w:rsidP="00930D98">
            <w:pPr>
              <w:pStyle w:val="Default"/>
              <w:jc w:val="both"/>
              <w:rPr>
                <w:rFonts w:asciiTheme="minorHAnsi" w:hAnsiTheme="minorHAnsi" w:cstheme="minorBidi"/>
                <w:color w:val="auto"/>
                <w:sz w:val="22"/>
                <w:szCs w:val="22"/>
              </w:rPr>
            </w:pPr>
          </w:p>
          <w:p w:rsidR="004B3A99" w:rsidRPr="00E03343" w:rsidRDefault="004B3A99"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 xml:space="preserve">Meet target response times for each category of ASB. </w:t>
            </w:r>
          </w:p>
        </w:tc>
      </w:tr>
      <w:tr w:rsidR="004B3A99" w:rsidRPr="00E03343" w:rsidTr="009D311D">
        <w:tc>
          <w:tcPr>
            <w:tcW w:w="4634" w:type="dxa"/>
          </w:tcPr>
          <w:p w:rsidR="004B3A99" w:rsidRPr="00E03343" w:rsidRDefault="004B3A99"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Provide housing services that meet and continuously meet our resident’s expectations.</w:t>
            </w:r>
          </w:p>
        </w:tc>
        <w:tc>
          <w:tcPr>
            <w:tcW w:w="4634" w:type="dxa"/>
          </w:tcPr>
          <w:p w:rsidR="004B3A99" w:rsidRPr="00E03343" w:rsidRDefault="004B3A99"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Undertake annual surveys of service users.</w:t>
            </w:r>
          </w:p>
          <w:p w:rsidR="004B3A99" w:rsidRPr="00E03343" w:rsidRDefault="004B3A99" w:rsidP="00930D98">
            <w:pPr>
              <w:pStyle w:val="Default"/>
              <w:jc w:val="both"/>
              <w:rPr>
                <w:rFonts w:asciiTheme="minorHAnsi" w:hAnsiTheme="minorHAnsi" w:cstheme="minorBidi"/>
                <w:color w:val="auto"/>
                <w:sz w:val="22"/>
                <w:szCs w:val="22"/>
              </w:rPr>
            </w:pPr>
          </w:p>
          <w:p w:rsidR="004B3A99" w:rsidRPr="00E03343" w:rsidRDefault="004B3A99" w:rsidP="009D311D">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 xml:space="preserve">Correspondence response within </w:t>
            </w:r>
            <w:r w:rsidRPr="009D311D">
              <w:rPr>
                <w:rFonts w:asciiTheme="minorHAnsi" w:hAnsiTheme="minorHAnsi" w:cstheme="minorBidi"/>
                <w:color w:val="auto"/>
                <w:sz w:val="22"/>
                <w:szCs w:val="22"/>
              </w:rPr>
              <w:t>10</w:t>
            </w:r>
            <w:r w:rsidRPr="00E03343">
              <w:rPr>
                <w:rFonts w:asciiTheme="minorHAnsi" w:hAnsiTheme="minorHAnsi" w:cstheme="minorBidi"/>
                <w:color w:val="auto"/>
                <w:sz w:val="22"/>
                <w:szCs w:val="22"/>
              </w:rPr>
              <w:t xml:space="preserve"> working days; </w:t>
            </w:r>
          </w:p>
        </w:tc>
      </w:tr>
      <w:tr w:rsidR="004B3A99" w:rsidRPr="00E03343" w:rsidTr="009D311D">
        <w:tc>
          <w:tcPr>
            <w:tcW w:w="4634" w:type="dxa"/>
          </w:tcPr>
          <w:p w:rsidR="004B3A99" w:rsidRPr="00E03343" w:rsidRDefault="004B3A99"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Improve the access to estate services through the use of the web, texting, email, aiming to achieve a minimum of 25% of service requests being raised through these channels by December 2018.</w:t>
            </w:r>
          </w:p>
        </w:tc>
        <w:tc>
          <w:tcPr>
            <w:tcW w:w="4634" w:type="dxa"/>
          </w:tcPr>
          <w:p w:rsidR="004B3A99" w:rsidRPr="00E03343" w:rsidRDefault="004B3A99"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Undertake a feasibility study of texting.</w:t>
            </w:r>
          </w:p>
          <w:p w:rsidR="004B3A99" w:rsidRPr="00E03343" w:rsidRDefault="004B3A99" w:rsidP="00930D98">
            <w:pPr>
              <w:pStyle w:val="Default"/>
              <w:jc w:val="both"/>
              <w:rPr>
                <w:rFonts w:asciiTheme="minorHAnsi" w:hAnsiTheme="minorHAnsi" w:cstheme="minorBidi"/>
                <w:color w:val="auto"/>
                <w:sz w:val="22"/>
                <w:szCs w:val="22"/>
              </w:rPr>
            </w:pPr>
          </w:p>
          <w:p w:rsidR="004B3A99" w:rsidRPr="00E03343" w:rsidRDefault="004B3A99"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Review the TMO website.</w:t>
            </w:r>
          </w:p>
          <w:p w:rsidR="004B3A99" w:rsidRPr="00E03343" w:rsidRDefault="004B3A99" w:rsidP="00930D98">
            <w:pPr>
              <w:pStyle w:val="Default"/>
              <w:jc w:val="both"/>
              <w:rPr>
                <w:rFonts w:asciiTheme="minorHAnsi" w:hAnsiTheme="minorHAnsi" w:cstheme="minorBidi"/>
                <w:color w:val="auto"/>
                <w:sz w:val="22"/>
                <w:szCs w:val="22"/>
              </w:rPr>
            </w:pPr>
          </w:p>
          <w:p w:rsidR="004B3A99" w:rsidRPr="00E03343" w:rsidRDefault="004B3A99"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 xml:space="preserve">Report to Board quarterly on the channels used by residents to make service requests. </w:t>
            </w:r>
          </w:p>
        </w:tc>
      </w:tr>
      <w:tr w:rsidR="004B3A99" w:rsidRPr="00E03343" w:rsidTr="009D311D">
        <w:tc>
          <w:tcPr>
            <w:tcW w:w="4634" w:type="dxa"/>
          </w:tcPr>
          <w:p w:rsidR="004B3A99" w:rsidRPr="00E03343" w:rsidRDefault="004B3A99"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Aim to meet and exceed resident’s expectation on housing services provision yearly as outlined within the MMA and with reference to KPI standards.</w:t>
            </w:r>
          </w:p>
        </w:tc>
        <w:tc>
          <w:tcPr>
            <w:tcW w:w="4634" w:type="dxa"/>
          </w:tcPr>
          <w:p w:rsidR="004B3A99" w:rsidRPr="00E03343" w:rsidRDefault="004B3A99"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Publicise KPI standards in newsletter and on notice boards.</w:t>
            </w:r>
          </w:p>
          <w:p w:rsidR="004B3A99" w:rsidRPr="00E03343" w:rsidRDefault="004B3A99" w:rsidP="00930D98">
            <w:pPr>
              <w:pStyle w:val="Default"/>
              <w:jc w:val="both"/>
              <w:rPr>
                <w:rFonts w:asciiTheme="minorHAnsi" w:hAnsiTheme="minorHAnsi" w:cstheme="minorBidi"/>
                <w:color w:val="auto"/>
                <w:sz w:val="22"/>
                <w:szCs w:val="22"/>
              </w:rPr>
            </w:pPr>
          </w:p>
          <w:p w:rsidR="004B3A99" w:rsidRPr="00E03343" w:rsidRDefault="004B3A99" w:rsidP="00930D98">
            <w:pPr>
              <w:pStyle w:val="Default"/>
              <w:jc w:val="both"/>
              <w:rPr>
                <w:rFonts w:asciiTheme="minorHAnsi" w:hAnsiTheme="minorHAnsi" w:cstheme="minorBidi"/>
                <w:color w:val="auto"/>
                <w:sz w:val="22"/>
                <w:szCs w:val="22"/>
              </w:rPr>
            </w:pPr>
            <w:r w:rsidRPr="009D311D">
              <w:rPr>
                <w:rFonts w:asciiTheme="minorHAnsi" w:hAnsiTheme="minorHAnsi" w:cstheme="minorBidi"/>
                <w:color w:val="auto"/>
                <w:sz w:val="22"/>
                <w:szCs w:val="22"/>
              </w:rPr>
              <w:t>Undertake ‘moving in’ reviews with new residents after 6 weeks of new tenancy starting to consult on satisfaction with TMO and the ‘moving in’ experience.</w:t>
            </w:r>
          </w:p>
          <w:p w:rsidR="004B3A99" w:rsidRPr="00E03343" w:rsidRDefault="004B3A99" w:rsidP="00930D98">
            <w:pPr>
              <w:pStyle w:val="Default"/>
              <w:jc w:val="both"/>
              <w:rPr>
                <w:rFonts w:asciiTheme="minorHAnsi" w:hAnsiTheme="minorHAnsi" w:cstheme="minorBidi"/>
                <w:color w:val="auto"/>
                <w:sz w:val="22"/>
                <w:szCs w:val="22"/>
              </w:rPr>
            </w:pPr>
          </w:p>
          <w:p w:rsidR="004B3A99" w:rsidRPr="00E03343" w:rsidRDefault="004B3A99"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 xml:space="preserve">Consult on satisfaction with housing service provision in residents’ survey. </w:t>
            </w:r>
          </w:p>
        </w:tc>
      </w:tr>
      <w:tr w:rsidR="004B3A99" w:rsidRPr="00E03343" w:rsidTr="009D311D">
        <w:tc>
          <w:tcPr>
            <w:tcW w:w="4634" w:type="dxa"/>
          </w:tcPr>
          <w:p w:rsidR="004B3A99" w:rsidRPr="00E03343" w:rsidRDefault="004B3A99" w:rsidP="00930D98">
            <w:pPr>
              <w:pStyle w:val="Default"/>
              <w:jc w:val="both"/>
              <w:rPr>
                <w:sz w:val="22"/>
                <w:szCs w:val="22"/>
              </w:rPr>
            </w:pPr>
            <w:r w:rsidRPr="00E03343">
              <w:rPr>
                <w:rFonts w:asciiTheme="minorHAnsi" w:hAnsiTheme="minorHAnsi" w:cstheme="minorBidi"/>
                <w:color w:val="auto"/>
                <w:sz w:val="22"/>
                <w:szCs w:val="22"/>
              </w:rPr>
              <w:t>Increase the properties man</w:t>
            </w:r>
            <w:r w:rsidR="009D311D">
              <w:rPr>
                <w:rFonts w:asciiTheme="minorHAnsi" w:hAnsiTheme="minorHAnsi" w:cstheme="minorBidi"/>
                <w:color w:val="auto"/>
                <w:sz w:val="22"/>
                <w:szCs w:val="22"/>
              </w:rPr>
              <w:t>aged by the TMO by December 2019</w:t>
            </w:r>
            <w:r w:rsidRPr="00E03343">
              <w:rPr>
                <w:rFonts w:asciiTheme="minorHAnsi" w:hAnsiTheme="minorHAnsi" w:cstheme="minorBidi"/>
                <w:color w:val="auto"/>
                <w:sz w:val="22"/>
                <w:szCs w:val="22"/>
              </w:rPr>
              <w:t xml:space="preserve"> and more subsequently.</w:t>
            </w:r>
            <w:r w:rsidRPr="00E03343">
              <w:rPr>
                <w:sz w:val="22"/>
                <w:szCs w:val="22"/>
              </w:rPr>
              <w:t xml:space="preserve"> </w:t>
            </w:r>
          </w:p>
        </w:tc>
        <w:tc>
          <w:tcPr>
            <w:tcW w:w="4634" w:type="dxa"/>
          </w:tcPr>
          <w:p w:rsidR="004B3A99" w:rsidRPr="00E03343" w:rsidRDefault="004B3A99"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Consult with neighbouring estates on Right to Manage Options.</w:t>
            </w:r>
          </w:p>
        </w:tc>
      </w:tr>
      <w:tr w:rsidR="00887D83" w:rsidRPr="00E03343" w:rsidTr="009D311D">
        <w:tc>
          <w:tcPr>
            <w:tcW w:w="9268" w:type="dxa"/>
            <w:gridSpan w:val="2"/>
          </w:tcPr>
          <w:p w:rsidR="00887D83" w:rsidRPr="00E03343" w:rsidRDefault="00887D83" w:rsidP="00930D98">
            <w:pPr>
              <w:pStyle w:val="Default"/>
              <w:jc w:val="both"/>
              <w:rPr>
                <w:rFonts w:asciiTheme="minorHAnsi" w:hAnsiTheme="minorHAnsi" w:cstheme="minorBidi"/>
                <w:color w:val="auto"/>
                <w:sz w:val="22"/>
                <w:szCs w:val="22"/>
              </w:rPr>
            </w:pPr>
          </w:p>
        </w:tc>
      </w:tr>
      <w:tr w:rsidR="004B3A99" w:rsidRPr="00E03343" w:rsidTr="009D311D">
        <w:tc>
          <w:tcPr>
            <w:tcW w:w="9268" w:type="dxa"/>
            <w:gridSpan w:val="2"/>
          </w:tcPr>
          <w:p w:rsidR="004B3A99" w:rsidRPr="00E03343" w:rsidRDefault="004B3A99" w:rsidP="00930D98">
            <w:pPr>
              <w:pStyle w:val="Default"/>
              <w:jc w:val="both"/>
              <w:rPr>
                <w:b/>
                <w:sz w:val="22"/>
                <w:szCs w:val="22"/>
              </w:rPr>
            </w:pPr>
            <w:r w:rsidRPr="00E03343">
              <w:rPr>
                <w:b/>
                <w:sz w:val="22"/>
                <w:szCs w:val="22"/>
              </w:rPr>
              <w:t xml:space="preserve">4.4 </w:t>
            </w:r>
            <w:r w:rsidRPr="00EB06DA">
              <w:rPr>
                <w:b/>
                <w:sz w:val="22"/>
                <w:szCs w:val="22"/>
                <w:u w:val="single"/>
              </w:rPr>
              <w:t>Finance</w:t>
            </w:r>
            <w:r w:rsidRPr="00E03343">
              <w:rPr>
                <w:b/>
                <w:sz w:val="22"/>
                <w:szCs w:val="22"/>
              </w:rPr>
              <w:t xml:space="preserve"> strategy – Drive down operational cost through efficient and innovative delivery strategies. </w:t>
            </w:r>
          </w:p>
        </w:tc>
      </w:tr>
      <w:tr w:rsidR="004B3A99" w:rsidRPr="00E03343" w:rsidTr="009D311D">
        <w:tc>
          <w:tcPr>
            <w:tcW w:w="4634" w:type="dxa"/>
          </w:tcPr>
          <w:p w:rsidR="004B3A99" w:rsidRPr="00E03343" w:rsidRDefault="004B3A99" w:rsidP="00930D98">
            <w:pPr>
              <w:pStyle w:val="ListParagraph"/>
              <w:ind w:left="0"/>
              <w:jc w:val="both"/>
              <w:rPr>
                <w:i/>
              </w:rPr>
            </w:pPr>
            <w:r w:rsidRPr="00E03343">
              <w:rPr>
                <w:i/>
              </w:rPr>
              <w:t>STRATEGY</w:t>
            </w:r>
          </w:p>
        </w:tc>
        <w:tc>
          <w:tcPr>
            <w:tcW w:w="4634" w:type="dxa"/>
          </w:tcPr>
          <w:p w:rsidR="004B3A99" w:rsidRPr="00E03343" w:rsidRDefault="004B3A99" w:rsidP="00930D98">
            <w:pPr>
              <w:pStyle w:val="ListParagraph"/>
              <w:ind w:left="0"/>
              <w:jc w:val="both"/>
              <w:rPr>
                <w:i/>
              </w:rPr>
            </w:pPr>
            <w:r w:rsidRPr="00E03343">
              <w:rPr>
                <w:i/>
              </w:rPr>
              <w:t>KEY ACTIONS</w:t>
            </w:r>
          </w:p>
        </w:tc>
      </w:tr>
      <w:tr w:rsidR="004B3A99" w:rsidRPr="00E03343" w:rsidTr="009D311D">
        <w:tc>
          <w:tcPr>
            <w:tcW w:w="4634" w:type="dxa"/>
          </w:tcPr>
          <w:p w:rsidR="004B3A99" w:rsidRPr="00E03343" w:rsidRDefault="004B3A99"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Ensure the TMO achieves its annual projected surplus to build the TMO’s reserve fund target.</w:t>
            </w:r>
          </w:p>
        </w:tc>
        <w:tc>
          <w:tcPr>
            <w:tcW w:w="4634" w:type="dxa"/>
          </w:tcPr>
          <w:p w:rsidR="004B3A99" w:rsidRPr="00E03343" w:rsidRDefault="004B3A99"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 xml:space="preserve">Establish an annual reserve fund target – monitored by the Board quarterly. </w:t>
            </w:r>
          </w:p>
        </w:tc>
      </w:tr>
      <w:tr w:rsidR="004B3A99" w:rsidRPr="00E03343" w:rsidTr="009D311D">
        <w:tc>
          <w:tcPr>
            <w:tcW w:w="4634" w:type="dxa"/>
          </w:tcPr>
          <w:p w:rsidR="004B3A99" w:rsidRPr="00E03343" w:rsidRDefault="004B3A99"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Continue to ensure the TMO is efficient and achieves value for money through all aspects of its operation.</w:t>
            </w:r>
          </w:p>
        </w:tc>
        <w:tc>
          <w:tcPr>
            <w:tcW w:w="4634" w:type="dxa"/>
          </w:tcPr>
          <w:p w:rsidR="00EB06DA" w:rsidRPr="009D311D" w:rsidRDefault="00EB06DA" w:rsidP="00930D98">
            <w:pPr>
              <w:pStyle w:val="Default"/>
              <w:jc w:val="both"/>
              <w:rPr>
                <w:rFonts w:asciiTheme="minorHAnsi" w:hAnsiTheme="minorHAnsi" w:cstheme="minorBidi"/>
                <w:b/>
                <w:color w:val="000000" w:themeColor="text1"/>
                <w:sz w:val="22"/>
                <w:szCs w:val="22"/>
                <w:highlight w:val="yellow"/>
              </w:rPr>
            </w:pPr>
            <w:r w:rsidRPr="00E03343">
              <w:rPr>
                <w:rFonts w:asciiTheme="minorHAnsi" w:hAnsiTheme="minorHAnsi" w:cstheme="minorBidi"/>
                <w:color w:val="auto"/>
                <w:sz w:val="22"/>
                <w:szCs w:val="22"/>
              </w:rPr>
              <w:t>Board to receive a quarterly report detailing the average cost of a basket of repairs.</w:t>
            </w:r>
            <w:r w:rsidR="00B14974">
              <w:rPr>
                <w:rFonts w:asciiTheme="minorHAnsi" w:hAnsiTheme="minorHAnsi" w:cstheme="minorBidi"/>
                <w:color w:val="auto"/>
                <w:sz w:val="22"/>
                <w:szCs w:val="22"/>
              </w:rPr>
              <w:t xml:space="preserve"> </w:t>
            </w:r>
            <w:r w:rsidR="00B14974" w:rsidRPr="009D311D">
              <w:rPr>
                <w:rFonts w:asciiTheme="minorHAnsi" w:hAnsiTheme="minorHAnsi" w:cstheme="minorBidi"/>
                <w:color w:val="auto"/>
                <w:sz w:val="22"/>
                <w:szCs w:val="22"/>
              </w:rPr>
              <w:t>Board to develop a value for money policy.</w:t>
            </w:r>
          </w:p>
          <w:p w:rsidR="004B3A99" w:rsidRPr="00E03343" w:rsidRDefault="004B3A99" w:rsidP="00930D98">
            <w:pPr>
              <w:pStyle w:val="Default"/>
              <w:jc w:val="both"/>
              <w:rPr>
                <w:rFonts w:asciiTheme="minorHAnsi" w:hAnsiTheme="minorHAnsi" w:cstheme="minorBidi"/>
                <w:color w:val="auto"/>
                <w:sz w:val="22"/>
                <w:szCs w:val="22"/>
              </w:rPr>
            </w:pPr>
          </w:p>
        </w:tc>
      </w:tr>
      <w:tr w:rsidR="004B3A99" w:rsidRPr="00E03343" w:rsidTr="009D311D">
        <w:tc>
          <w:tcPr>
            <w:tcW w:w="4634" w:type="dxa"/>
          </w:tcPr>
          <w:p w:rsidR="004B3A99" w:rsidRPr="00E03343" w:rsidRDefault="004B3A99"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 xml:space="preserve">Effective financial management and controls are in place to ensure financial plans are delivered. </w:t>
            </w:r>
          </w:p>
        </w:tc>
        <w:tc>
          <w:tcPr>
            <w:tcW w:w="4634" w:type="dxa"/>
          </w:tcPr>
          <w:p w:rsidR="004B3A99" w:rsidRPr="00E03343" w:rsidRDefault="004B3A99" w:rsidP="00930D98">
            <w:pPr>
              <w:pStyle w:val="Default"/>
              <w:jc w:val="both"/>
              <w:rPr>
                <w:rFonts w:asciiTheme="minorHAnsi" w:hAnsiTheme="minorHAnsi" w:cstheme="minorBidi"/>
                <w:color w:val="auto"/>
                <w:sz w:val="22"/>
                <w:szCs w:val="22"/>
              </w:rPr>
            </w:pPr>
            <w:r w:rsidRPr="00E03343">
              <w:rPr>
                <w:rFonts w:asciiTheme="minorHAnsi" w:hAnsiTheme="minorHAnsi" w:cstheme="minorBidi"/>
                <w:color w:val="auto"/>
                <w:sz w:val="22"/>
                <w:szCs w:val="22"/>
              </w:rPr>
              <w:t>Annual audit report to the board.</w:t>
            </w:r>
          </w:p>
        </w:tc>
      </w:tr>
    </w:tbl>
    <w:p w:rsidR="00457865" w:rsidRPr="00E03343" w:rsidRDefault="00457865" w:rsidP="00930D98">
      <w:pPr>
        <w:pStyle w:val="ListParagraph"/>
        <w:ind w:left="360"/>
        <w:jc w:val="both"/>
        <w:rPr>
          <w:rFonts w:ascii="Calibri" w:hAnsi="Calibri" w:cs="Calibri"/>
        </w:rPr>
      </w:pPr>
    </w:p>
    <w:p w:rsidR="005B1659" w:rsidRPr="00E03343" w:rsidRDefault="005B1659" w:rsidP="00930D98">
      <w:pPr>
        <w:jc w:val="both"/>
        <w:rPr>
          <w:rFonts w:ascii="Calibri" w:hAnsi="Calibri" w:cs="Calibri"/>
        </w:rPr>
      </w:pPr>
      <w:r w:rsidRPr="00E03343">
        <w:rPr>
          <w:rFonts w:ascii="Calibri" w:hAnsi="Calibri" w:cs="Calibri"/>
        </w:rPr>
        <w:br w:type="page"/>
      </w:r>
    </w:p>
    <w:p w:rsidR="00D809C3" w:rsidRPr="00EB06DA" w:rsidRDefault="005B1659" w:rsidP="00930D98">
      <w:pPr>
        <w:pStyle w:val="ListParagraph"/>
        <w:numPr>
          <w:ilvl w:val="0"/>
          <w:numId w:val="5"/>
        </w:numPr>
        <w:jc w:val="both"/>
        <w:rPr>
          <w:b/>
          <w:sz w:val="24"/>
        </w:rPr>
      </w:pPr>
      <w:r w:rsidRPr="00EB06DA">
        <w:rPr>
          <w:b/>
          <w:sz w:val="24"/>
        </w:rPr>
        <w:t>Finance and Risk Management Plan</w:t>
      </w:r>
    </w:p>
    <w:p w:rsidR="005F4D2A" w:rsidRPr="00E03343" w:rsidRDefault="005F4D2A" w:rsidP="00930D98">
      <w:pPr>
        <w:pStyle w:val="ListParagraph"/>
        <w:ind w:left="360"/>
        <w:jc w:val="both"/>
        <w:rPr>
          <w:b/>
        </w:rPr>
      </w:pPr>
    </w:p>
    <w:p w:rsidR="00D809C3" w:rsidRPr="00E03343" w:rsidRDefault="00D809C3" w:rsidP="00930D98">
      <w:pPr>
        <w:pStyle w:val="ListParagraph"/>
        <w:numPr>
          <w:ilvl w:val="1"/>
          <w:numId w:val="18"/>
        </w:numPr>
        <w:ind w:left="709"/>
        <w:jc w:val="both"/>
      </w:pPr>
      <w:r w:rsidRPr="00E03343">
        <w:t>Financial Projections</w:t>
      </w:r>
    </w:p>
    <w:p w:rsidR="008807EB" w:rsidRPr="00E03343" w:rsidRDefault="008807EB" w:rsidP="00930D98">
      <w:pPr>
        <w:pStyle w:val="ListParagraph"/>
        <w:ind w:left="360"/>
        <w:jc w:val="both"/>
        <w:rPr>
          <w:rFonts w:cstheme="minorHAnsi"/>
        </w:rPr>
      </w:pPr>
    </w:p>
    <w:p w:rsidR="00F73B23" w:rsidRDefault="00F73B23" w:rsidP="00930D98">
      <w:pPr>
        <w:pStyle w:val="ListParagraph"/>
        <w:ind w:left="360"/>
        <w:jc w:val="both"/>
        <w:rPr>
          <w:rFonts w:cstheme="minorHAnsi"/>
        </w:rPr>
      </w:pPr>
      <w:r w:rsidRPr="00E03343">
        <w:rPr>
          <w:rFonts w:cstheme="minorHAnsi"/>
        </w:rPr>
        <w:t>T</w:t>
      </w:r>
      <w:r w:rsidR="005F6F39" w:rsidRPr="00E03343">
        <w:rPr>
          <w:rFonts w:cstheme="minorHAnsi"/>
        </w:rPr>
        <w:t>he TMO’s finances are projected to remain healthy throughout the period of the business plan. We expect the focus and profile of our spending to change over time, particularly as we start to reinvest the savings we make due to efficiency savings back into mak</w:t>
      </w:r>
      <w:r w:rsidRPr="00E03343">
        <w:rPr>
          <w:rFonts w:cstheme="minorHAnsi"/>
        </w:rPr>
        <w:t>ing improvements on the estate.</w:t>
      </w:r>
      <w:r w:rsidR="004A397E" w:rsidRPr="00E03343">
        <w:rPr>
          <w:rFonts w:cstheme="minorHAnsi"/>
        </w:rPr>
        <w:t xml:space="preserve"> In fact we expect our budget to maintain an annual underspend, which will of course be invested back into our community to bring about real improvements to our environment and communal spaces as well as internal improvements to properties.</w:t>
      </w:r>
    </w:p>
    <w:p w:rsidR="006433DE" w:rsidRDefault="006433DE" w:rsidP="00930D98">
      <w:pPr>
        <w:pStyle w:val="ListParagraph"/>
        <w:ind w:left="360"/>
        <w:jc w:val="both"/>
        <w:rPr>
          <w:rFonts w:cstheme="minorHAnsi"/>
        </w:rPr>
      </w:pPr>
    </w:p>
    <w:p w:rsidR="006433DE" w:rsidRPr="00E03343" w:rsidRDefault="006433DE" w:rsidP="00930D98">
      <w:pPr>
        <w:pStyle w:val="ListParagraph"/>
        <w:ind w:left="360"/>
        <w:jc w:val="both"/>
        <w:rPr>
          <w:rFonts w:cstheme="minorHAnsi"/>
        </w:rPr>
      </w:pPr>
      <w:r>
        <w:rPr>
          <w:noProof/>
          <w:lang w:eastAsia="en-GB"/>
        </w:rPr>
        <w:drawing>
          <wp:inline distT="0" distB="0" distL="0" distR="0" wp14:anchorId="2E8D0A3F" wp14:editId="5FBF0265">
            <wp:extent cx="5876925" cy="2756847"/>
            <wp:effectExtent l="0" t="0" r="9525" b="57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A397E" w:rsidRPr="00E03343" w:rsidRDefault="004A397E" w:rsidP="00930D98">
      <w:pPr>
        <w:pStyle w:val="ListParagraph"/>
        <w:ind w:left="360"/>
        <w:jc w:val="both"/>
        <w:rPr>
          <w:rFonts w:cstheme="minorHAnsi"/>
        </w:rPr>
      </w:pPr>
    </w:p>
    <w:p w:rsidR="004A397E" w:rsidRDefault="00DF7140" w:rsidP="00930D98">
      <w:pPr>
        <w:pStyle w:val="ListParagraph"/>
        <w:ind w:left="360"/>
        <w:jc w:val="both"/>
        <w:rPr>
          <w:rFonts w:cstheme="minorHAnsi"/>
        </w:rPr>
      </w:pPr>
      <w:r>
        <w:rPr>
          <w:rFonts w:cstheme="minorHAnsi"/>
        </w:rPr>
        <w:t>The Co-op’s</w:t>
      </w:r>
      <w:r w:rsidR="005F6F39" w:rsidRPr="00E03343">
        <w:rPr>
          <w:rFonts w:cstheme="minorHAnsi"/>
        </w:rPr>
        <w:t xml:space="preserve"> prim</w:t>
      </w:r>
      <w:r>
        <w:rPr>
          <w:rFonts w:cstheme="minorHAnsi"/>
        </w:rPr>
        <w:t>ary income is generated from the</w:t>
      </w:r>
      <w:r w:rsidR="005F6F39" w:rsidRPr="00E03343">
        <w:rPr>
          <w:rFonts w:cstheme="minorHAnsi"/>
        </w:rPr>
        <w:t xml:space="preserve"> </w:t>
      </w:r>
      <w:r>
        <w:rPr>
          <w:rFonts w:cstheme="minorHAnsi"/>
        </w:rPr>
        <w:t>MMA</w:t>
      </w:r>
      <w:r w:rsidR="005F6F39" w:rsidRPr="00E03343">
        <w:rPr>
          <w:rFonts w:cstheme="minorHAnsi"/>
        </w:rPr>
        <w:t xml:space="preserve"> allowances. </w:t>
      </w:r>
      <w:r>
        <w:rPr>
          <w:rFonts w:cstheme="minorHAnsi"/>
        </w:rPr>
        <w:t xml:space="preserve">There are also </w:t>
      </w:r>
      <w:r w:rsidR="005F6F39" w:rsidRPr="00E03343">
        <w:rPr>
          <w:rFonts w:cstheme="minorHAnsi"/>
        </w:rPr>
        <w:t>a number of non-core activity income streams</w:t>
      </w:r>
      <w:r>
        <w:rPr>
          <w:rFonts w:cstheme="minorHAnsi"/>
        </w:rPr>
        <w:t>,</w:t>
      </w:r>
      <w:r w:rsidR="005F6F39" w:rsidRPr="00E03343">
        <w:rPr>
          <w:rFonts w:cstheme="minorHAnsi"/>
        </w:rPr>
        <w:t xml:space="preserve"> </w:t>
      </w:r>
      <w:r w:rsidR="00F73B23" w:rsidRPr="00E03343">
        <w:rPr>
          <w:rFonts w:cstheme="minorHAnsi"/>
        </w:rPr>
        <w:t>such as revenue generated by the car park perm</w:t>
      </w:r>
      <w:r>
        <w:rPr>
          <w:rFonts w:cstheme="minorHAnsi"/>
        </w:rPr>
        <w:t>its and the meeting room’s hire, and the bank interests.</w:t>
      </w:r>
    </w:p>
    <w:p w:rsidR="00480ADE" w:rsidRDefault="00480ADE" w:rsidP="00930D98">
      <w:pPr>
        <w:pStyle w:val="ListParagraph"/>
        <w:ind w:left="360"/>
        <w:jc w:val="both"/>
        <w:rPr>
          <w:rFonts w:cstheme="minorHAnsi"/>
        </w:rPr>
      </w:pPr>
    </w:p>
    <w:p w:rsidR="00480ADE" w:rsidRPr="00E03343" w:rsidRDefault="00480ADE" w:rsidP="00480ADE">
      <w:pPr>
        <w:pStyle w:val="ListParagraph"/>
        <w:ind w:left="360"/>
        <w:jc w:val="center"/>
        <w:rPr>
          <w:rFonts w:cstheme="minorHAnsi"/>
        </w:rPr>
      </w:pPr>
      <w:r>
        <w:rPr>
          <w:noProof/>
          <w:lang w:eastAsia="en-GB"/>
        </w:rPr>
        <w:drawing>
          <wp:inline distT="0" distB="0" distL="0" distR="0" wp14:anchorId="66FDD367" wp14:editId="358E41E8">
            <wp:extent cx="5838825" cy="21526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558E" w:rsidRDefault="0056558E" w:rsidP="000F1EDC">
      <w:pPr>
        <w:pStyle w:val="ListParagraph"/>
        <w:ind w:left="360"/>
        <w:jc w:val="both"/>
        <w:rPr>
          <w:rFonts w:cstheme="minorHAnsi"/>
        </w:rPr>
      </w:pPr>
    </w:p>
    <w:p w:rsidR="00D809C3" w:rsidRPr="000F1EDC" w:rsidRDefault="0056558E" w:rsidP="000F1EDC">
      <w:pPr>
        <w:pStyle w:val="ListParagraph"/>
        <w:ind w:left="360"/>
        <w:jc w:val="both"/>
        <w:rPr>
          <w:rFonts w:cstheme="minorHAnsi"/>
        </w:rPr>
      </w:pPr>
      <w:r>
        <w:rPr>
          <w:rFonts w:cstheme="minorHAnsi"/>
        </w:rPr>
        <w:t>The TMO’s</w:t>
      </w:r>
      <w:r w:rsidR="00F73B23" w:rsidRPr="00E03343">
        <w:rPr>
          <w:rFonts w:cstheme="minorHAnsi"/>
        </w:rPr>
        <w:t xml:space="preserve"> expenditure can be split between the resources </w:t>
      </w:r>
      <w:r>
        <w:rPr>
          <w:rFonts w:cstheme="minorHAnsi"/>
        </w:rPr>
        <w:t>spent</w:t>
      </w:r>
      <w:r w:rsidR="00F73B23" w:rsidRPr="00E03343">
        <w:rPr>
          <w:rFonts w:cstheme="minorHAnsi"/>
        </w:rPr>
        <w:t xml:space="preserve"> on maintenance a</w:t>
      </w:r>
      <w:r w:rsidR="000F1EDC">
        <w:rPr>
          <w:rFonts w:cstheme="minorHAnsi"/>
        </w:rPr>
        <w:t xml:space="preserve">nd on management. </w:t>
      </w:r>
      <w:r>
        <w:t>As an organisation, the TMO</w:t>
      </w:r>
      <w:r w:rsidR="005F6F39" w:rsidRPr="00E03343">
        <w:t xml:space="preserve"> will work towards achieving ever greater efficiency by reducing future management costs while striving to deliver value for money in the repairs and maintenance function across the estate. We are keen to ensure our annual expenditure continues to be appropriately balanced between management and maintenance costs.</w:t>
      </w:r>
    </w:p>
    <w:p w:rsidR="00FF637A" w:rsidRDefault="00CD5EC4" w:rsidP="00FF637A">
      <w:pPr>
        <w:pStyle w:val="ListParagraph"/>
        <w:ind w:left="360"/>
        <w:jc w:val="both"/>
      </w:pPr>
      <w:r w:rsidRPr="00E03343">
        <w:rPr>
          <w:rFonts w:cstheme="minorHAnsi"/>
        </w:rPr>
        <w:t xml:space="preserve">The area surrounding the estate continues to be regenerated and improved, including new housing developments on the fringes of Kilburn Square, which provide the TMO with the opportunity for expansion, bringing more homes under the management of local residents. </w:t>
      </w:r>
      <w:r w:rsidRPr="00E03343">
        <w:t>We believe that a reduction in average costs may also derive from any future successful expansion plans through the acquisition of additional properties.</w:t>
      </w:r>
    </w:p>
    <w:p w:rsidR="00FF637A" w:rsidRDefault="00FF637A" w:rsidP="00FF637A">
      <w:pPr>
        <w:pStyle w:val="ListParagraph"/>
        <w:ind w:left="360"/>
        <w:jc w:val="both"/>
      </w:pPr>
    </w:p>
    <w:p w:rsidR="0067329C" w:rsidRPr="00E03343" w:rsidRDefault="000F1EDC" w:rsidP="00FF637A">
      <w:pPr>
        <w:pStyle w:val="ListParagraph"/>
        <w:ind w:left="360"/>
        <w:jc w:val="both"/>
      </w:pPr>
      <w:r w:rsidRPr="00FF637A">
        <w:rPr>
          <w:rFonts w:cstheme="minorHAnsi"/>
        </w:rPr>
        <w:t>The breakdown of expenditure between management, maintenance and improvement works in the period covered by this business plan will vary year to year, however on average we predict that an estimated 55% of our annual expenditure will be dedicated to maintenance with approximately 30% spent on management</w:t>
      </w:r>
      <w:r w:rsidR="0056558E">
        <w:rPr>
          <w:rFonts w:cstheme="minorHAnsi"/>
        </w:rPr>
        <w:t xml:space="preserve">, </w:t>
      </w:r>
      <w:r w:rsidR="0056558E" w:rsidRPr="00FF637A">
        <w:rPr>
          <w:rFonts w:cstheme="minorHAnsi"/>
        </w:rPr>
        <w:t>which is in line with the previous years</w:t>
      </w:r>
      <w:r w:rsidRPr="00FF637A">
        <w:rPr>
          <w:rFonts w:cstheme="minorHAnsi"/>
        </w:rPr>
        <w:t xml:space="preserve">. The remaining expenditure (15% on average) will be targeted at a range of improvement works. </w:t>
      </w:r>
      <w:r w:rsidR="002D0A24" w:rsidRPr="000F1EDC">
        <w:t>The following</w:t>
      </w:r>
      <w:r w:rsidR="002D0A24" w:rsidRPr="00E03343">
        <w:t xml:space="preserve"> chart shows the expected breakdown bet</w:t>
      </w:r>
      <w:r>
        <w:t>ween these areas of expenditure.</w:t>
      </w:r>
    </w:p>
    <w:p w:rsidR="002D0A24" w:rsidRDefault="002D0A24" w:rsidP="00930D98">
      <w:pPr>
        <w:pStyle w:val="ListParagraph"/>
        <w:ind w:left="360"/>
        <w:jc w:val="both"/>
      </w:pPr>
    </w:p>
    <w:p w:rsidR="000F1EDC" w:rsidRDefault="000F1EDC" w:rsidP="000F1EDC">
      <w:pPr>
        <w:pStyle w:val="ListParagraph"/>
        <w:ind w:left="360"/>
        <w:jc w:val="center"/>
      </w:pPr>
      <w:r>
        <w:rPr>
          <w:noProof/>
          <w:lang w:eastAsia="en-GB"/>
        </w:rPr>
        <w:drawing>
          <wp:inline distT="0" distB="0" distL="0" distR="0" wp14:anchorId="2D91276D" wp14:editId="51214721">
            <wp:extent cx="5867400" cy="32480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1EDC" w:rsidRDefault="000F1EDC" w:rsidP="00930D98">
      <w:pPr>
        <w:pStyle w:val="ListParagraph"/>
        <w:ind w:left="360"/>
        <w:jc w:val="both"/>
      </w:pPr>
    </w:p>
    <w:p w:rsidR="002D0A24" w:rsidRPr="00E03343" w:rsidRDefault="002D0A24" w:rsidP="00930D98">
      <w:pPr>
        <w:pStyle w:val="ListParagraph"/>
        <w:ind w:left="360"/>
        <w:jc w:val="both"/>
      </w:pPr>
      <w:r w:rsidRPr="00E03343">
        <w:t>The table below outlines how we plan to invest future accumulated resources into the estate – these will take the form of capital/improvement spend on our estate and will be subjected to an annual review.</w:t>
      </w:r>
    </w:p>
    <w:p w:rsidR="00DD03FC" w:rsidRDefault="00DD03FC" w:rsidP="00930D98">
      <w:pPr>
        <w:pStyle w:val="ListParagraph"/>
        <w:ind w:left="360"/>
        <w:jc w:val="both"/>
      </w:pPr>
    </w:p>
    <w:tbl>
      <w:tblPr>
        <w:tblStyle w:val="TableGrid"/>
        <w:tblW w:w="9213" w:type="dxa"/>
        <w:tblInd w:w="421" w:type="dxa"/>
        <w:tblLayout w:type="fixed"/>
        <w:tblLook w:val="04A0" w:firstRow="1" w:lastRow="0" w:firstColumn="1" w:lastColumn="0" w:noHBand="0" w:noVBand="1"/>
      </w:tblPr>
      <w:tblGrid>
        <w:gridCol w:w="4252"/>
        <w:gridCol w:w="992"/>
        <w:gridCol w:w="993"/>
        <w:gridCol w:w="992"/>
        <w:gridCol w:w="992"/>
        <w:gridCol w:w="992"/>
      </w:tblGrid>
      <w:tr w:rsidR="002D0A24" w:rsidRPr="00E03343" w:rsidTr="00412F32">
        <w:trPr>
          <w:trHeight w:val="70"/>
        </w:trPr>
        <w:tc>
          <w:tcPr>
            <w:tcW w:w="4252" w:type="dxa"/>
            <w:vAlign w:val="center"/>
          </w:tcPr>
          <w:p w:rsidR="00DD03FC" w:rsidRPr="000939D5" w:rsidRDefault="00DD03FC" w:rsidP="00C639B2">
            <w:pPr>
              <w:jc w:val="center"/>
              <w:rPr>
                <w:b/>
              </w:rPr>
            </w:pPr>
            <w:r w:rsidRPr="000939D5">
              <w:rPr>
                <w:b/>
              </w:rPr>
              <w:t>Expenditure projections for the</w:t>
            </w:r>
          </w:p>
          <w:p w:rsidR="002D0A24" w:rsidRPr="000939D5" w:rsidRDefault="00DD03FC" w:rsidP="00C639B2">
            <w:pPr>
              <w:jc w:val="center"/>
              <w:rPr>
                <w:b/>
              </w:rPr>
            </w:pPr>
            <w:r w:rsidRPr="000939D5">
              <w:rPr>
                <w:b/>
              </w:rPr>
              <w:t>planned improvement works</w:t>
            </w:r>
          </w:p>
        </w:tc>
        <w:tc>
          <w:tcPr>
            <w:tcW w:w="992" w:type="dxa"/>
            <w:vAlign w:val="center"/>
          </w:tcPr>
          <w:p w:rsidR="002D0A24" w:rsidRPr="000939D5" w:rsidRDefault="002D0A24" w:rsidP="00C639B2">
            <w:pPr>
              <w:pStyle w:val="ListParagraph"/>
              <w:ind w:left="0"/>
              <w:jc w:val="center"/>
              <w:rPr>
                <w:b/>
              </w:rPr>
            </w:pPr>
            <w:r w:rsidRPr="000939D5">
              <w:rPr>
                <w:b/>
              </w:rPr>
              <w:t>2017/18</w:t>
            </w:r>
          </w:p>
        </w:tc>
        <w:tc>
          <w:tcPr>
            <w:tcW w:w="993" w:type="dxa"/>
            <w:vAlign w:val="center"/>
          </w:tcPr>
          <w:p w:rsidR="002D0A24" w:rsidRPr="000939D5" w:rsidRDefault="002D0A24" w:rsidP="00C639B2">
            <w:pPr>
              <w:pStyle w:val="ListParagraph"/>
              <w:ind w:left="0"/>
              <w:jc w:val="center"/>
              <w:rPr>
                <w:b/>
              </w:rPr>
            </w:pPr>
            <w:r w:rsidRPr="000939D5">
              <w:rPr>
                <w:b/>
              </w:rPr>
              <w:t>2018</w:t>
            </w:r>
            <w:r w:rsidR="00DD03FC" w:rsidRPr="000939D5">
              <w:rPr>
                <w:b/>
              </w:rPr>
              <w:t>/19</w:t>
            </w:r>
          </w:p>
        </w:tc>
        <w:tc>
          <w:tcPr>
            <w:tcW w:w="992" w:type="dxa"/>
            <w:vAlign w:val="center"/>
          </w:tcPr>
          <w:p w:rsidR="002D0A24" w:rsidRPr="000939D5" w:rsidRDefault="002D0A24" w:rsidP="00C639B2">
            <w:pPr>
              <w:pStyle w:val="ListParagraph"/>
              <w:ind w:left="0"/>
              <w:jc w:val="center"/>
              <w:rPr>
                <w:b/>
              </w:rPr>
            </w:pPr>
            <w:r w:rsidRPr="000939D5">
              <w:rPr>
                <w:b/>
              </w:rPr>
              <w:t>2019</w:t>
            </w:r>
            <w:r w:rsidR="00DD03FC" w:rsidRPr="000939D5">
              <w:rPr>
                <w:b/>
              </w:rPr>
              <w:t>/20</w:t>
            </w:r>
          </w:p>
        </w:tc>
        <w:tc>
          <w:tcPr>
            <w:tcW w:w="992" w:type="dxa"/>
            <w:vAlign w:val="center"/>
          </w:tcPr>
          <w:p w:rsidR="002D0A24" w:rsidRPr="000939D5" w:rsidRDefault="002D0A24" w:rsidP="00C639B2">
            <w:pPr>
              <w:pStyle w:val="ListParagraph"/>
              <w:ind w:left="0"/>
              <w:jc w:val="center"/>
              <w:rPr>
                <w:b/>
              </w:rPr>
            </w:pPr>
            <w:r w:rsidRPr="000939D5">
              <w:rPr>
                <w:b/>
              </w:rPr>
              <w:t>2020</w:t>
            </w:r>
            <w:r w:rsidR="00DD03FC" w:rsidRPr="000939D5">
              <w:rPr>
                <w:b/>
              </w:rPr>
              <w:t>/21</w:t>
            </w:r>
          </w:p>
        </w:tc>
        <w:tc>
          <w:tcPr>
            <w:tcW w:w="992" w:type="dxa"/>
            <w:vAlign w:val="center"/>
          </w:tcPr>
          <w:p w:rsidR="002D0A24" w:rsidRPr="000939D5" w:rsidRDefault="002D0A24" w:rsidP="00C639B2">
            <w:pPr>
              <w:pStyle w:val="ListParagraph"/>
              <w:ind w:left="0"/>
              <w:jc w:val="center"/>
              <w:rPr>
                <w:b/>
              </w:rPr>
            </w:pPr>
            <w:r w:rsidRPr="000939D5">
              <w:rPr>
                <w:b/>
              </w:rPr>
              <w:t>2021/22</w:t>
            </w:r>
          </w:p>
        </w:tc>
      </w:tr>
      <w:tr w:rsidR="000000F9" w:rsidRPr="00E03343" w:rsidTr="00624556">
        <w:trPr>
          <w:trHeight w:val="70"/>
        </w:trPr>
        <w:tc>
          <w:tcPr>
            <w:tcW w:w="4252" w:type="dxa"/>
          </w:tcPr>
          <w:p w:rsidR="000000F9" w:rsidRPr="000939D5" w:rsidRDefault="000000F9" w:rsidP="000000F9">
            <w:pPr>
              <w:pStyle w:val="ListParagraph"/>
              <w:ind w:left="0"/>
              <w:jc w:val="both"/>
              <w:rPr>
                <w:rFonts w:cstheme="minorHAnsi"/>
              </w:rPr>
            </w:pPr>
            <w:r w:rsidRPr="000939D5">
              <w:rPr>
                <w:rFonts w:cstheme="minorHAnsi"/>
              </w:rPr>
              <w:t>Environmental improvements</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£6,000</w:t>
            </w:r>
          </w:p>
        </w:tc>
        <w:tc>
          <w:tcPr>
            <w:tcW w:w="993" w:type="dxa"/>
            <w:vAlign w:val="center"/>
          </w:tcPr>
          <w:p w:rsidR="000000F9" w:rsidRPr="002B493B" w:rsidRDefault="000000F9" w:rsidP="000000F9">
            <w:pPr>
              <w:jc w:val="right"/>
              <w:rPr>
                <w:rFonts w:ascii="Calibri" w:hAnsi="Calibri" w:cs="Calibri"/>
              </w:rPr>
            </w:pPr>
            <w:r w:rsidRPr="002B493B">
              <w:rPr>
                <w:rFonts w:ascii="Calibri" w:hAnsi="Calibri" w:cstheme="minorHAnsi"/>
              </w:rPr>
              <w:t>£4,000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£6,000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£2,000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£2,000</w:t>
            </w:r>
          </w:p>
        </w:tc>
      </w:tr>
      <w:tr w:rsidR="000000F9" w:rsidRPr="00E03343" w:rsidTr="00624556">
        <w:trPr>
          <w:trHeight w:val="70"/>
        </w:trPr>
        <w:tc>
          <w:tcPr>
            <w:tcW w:w="4252" w:type="dxa"/>
          </w:tcPr>
          <w:p w:rsidR="000000F9" w:rsidRPr="000939D5" w:rsidRDefault="000000F9" w:rsidP="000000F9">
            <w:pPr>
              <w:pStyle w:val="ListParagraph"/>
              <w:ind w:left="0"/>
              <w:jc w:val="both"/>
              <w:rPr>
                <w:rFonts w:cstheme="minorHAnsi"/>
              </w:rPr>
            </w:pPr>
            <w:r w:rsidRPr="000939D5">
              <w:rPr>
                <w:rFonts w:cstheme="minorHAnsi"/>
              </w:rPr>
              <w:t>Estate signage</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£6,000</w:t>
            </w:r>
          </w:p>
        </w:tc>
        <w:tc>
          <w:tcPr>
            <w:tcW w:w="993" w:type="dxa"/>
            <w:vAlign w:val="center"/>
          </w:tcPr>
          <w:p w:rsidR="000000F9" w:rsidRPr="002B493B" w:rsidRDefault="000000F9" w:rsidP="000000F9">
            <w:pPr>
              <w:rPr>
                <w:rFonts w:ascii="Calibri" w:hAnsi="Calibri" w:cs="Calibri"/>
              </w:rPr>
            </w:pPr>
            <w:r w:rsidRPr="002B493B">
              <w:rPr>
                <w:rFonts w:ascii="Calibri" w:hAnsi="Calibri" w:cs="Calibri"/>
              </w:rPr>
              <w:t>-</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£4,000</w:t>
            </w:r>
          </w:p>
        </w:tc>
        <w:tc>
          <w:tcPr>
            <w:tcW w:w="992" w:type="dxa"/>
            <w:vAlign w:val="center"/>
          </w:tcPr>
          <w:p w:rsidR="000000F9" w:rsidRPr="002B493B" w:rsidRDefault="000000F9" w:rsidP="000000F9">
            <w:pPr>
              <w:rPr>
                <w:rFonts w:ascii="Calibri" w:hAnsi="Calibri" w:cs="Calibri"/>
              </w:rPr>
            </w:pPr>
            <w:r w:rsidRPr="002B493B">
              <w:rPr>
                <w:rFonts w:ascii="Calibri" w:hAnsi="Calibri" w:cs="Calibri"/>
              </w:rPr>
              <w:t>-</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£4,000</w:t>
            </w:r>
          </w:p>
        </w:tc>
      </w:tr>
      <w:tr w:rsidR="000000F9" w:rsidRPr="00E03343" w:rsidTr="00624556">
        <w:trPr>
          <w:trHeight w:val="70"/>
        </w:trPr>
        <w:tc>
          <w:tcPr>
            <w:tcW w:w="4252" w:type="dxa"/>
          </w:tcPr>
          <w:p w:rsidR="000000F9" w:rsidRPr="000939D5" w:rsidRDefault="000000F9" w:rsidP="000000F9">
            <w:pPr>
              <w:pStyle w:val="ListParagraph"/>
              <w:ind w:left="0"/>
              <w:jc w:val="both"/>
              <w:rPr>
                <w:rFonts w:cstheme="minorHAnsi"/>
              </w:rPr>
            </w:pPr>
            <w:r w:rsidRPr="000939D5">
              <w:rPr>
                <w:rFonts w:cstheme="minorHAnsi"/>
              </w:rPr>
              <w:t>Communal flooring upgrade for the Low Rise</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£12,000</w:t>
            </w:r>
          </w:p>
        </w:tc>
        <w:tc>
          <w:tcPr>
            <w:tcW w:w="993" w:type="dxa"/>
            <w:vAlign w:val="center"/>
          </w:tcPr>
          <w:p w:rsidR="000000F9" w:rsidRPr="002B493B" w:rsidRDefault="000000F9" w:rsidP="000000F9">
            <w:pPr>
              <w:jc w:val="right"/>
              <w:rPr>
                <w:rFonts w:ascii="Calibri" w:hAnsi="Calibri" w:cs="Calibri"/>
              </w:rPr>
            </w:pPr>
            <w:r w:rsidRPr="002B493B">
              <w:rPr>
                <w:rFonts w:ascii="Calibri" w:hAnsi="Calibri" w:cstheme="minorHAnsi"/>
              </w:rPr>
              <w:t>£4,000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£6,000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£8,000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£6,000</w:t>
            </w:r>
          </w:p>
        </w:tc>
      </w:tr>
      <w:tr w:rsidR="000000F9" w:rsidRPr="00E03343" w:rsidTr="00624556">
        <w:trPr>
          <w:trHeight w:val="70"/>
        </w:trPr>
        <w:tc>
          <w:tcPr>
            <w:tcW w:w="4252" w:type="dxa"/>
          </w:tcPr>
          <w:p w:rsidR="000000F9" w:rsidRPr="000939D5" w:rsidRDefault="000000F9" w:rsidP="000000F9">
            <w:pPr>
              <w:pStyle w:val="ListParagraph"/>
              <w:ind w:left="0"/>
              <w:jc w:val="both"/>
              <w:rPr>
                <w:rFonts w:cstheme="minorHAnsi"/>
              </w:rPr>
            </w:pPr>
            <w:r w:rsidRPr="000939D5">
              <w:rPr>
                <w:rFonts w:cstheme="minorHAnsi"/>
              </w:rPr>
              <w:t>Car park resurfacing next to the Tower Block</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£6,000</w:t>
            </w:r>
          </w:p>
        </w:tc>
        <w:tc>
          <w:tcPr>
            <w:tcW w:w="993" w:type="dxa"/>
            <w:vAlign w:val="center"/>
          </w:tcPr>
          <w:p w:rsidR="000000F9" w:rsidRPr="002B493B" w:rsidRDefault="000000F9" w:rsidP="000000F9">
            <w:pPr>
              <w:jc w:val="right"/>
              <w:rPr>
                <w:rFonts w:ascii="Calibri" w:hAnsi="Calibri" w:cs="Calibri"/>
              </w:rPr>
            </w:pPr>
            <w:r w:rsidRPr="002B493B">
              <w:rPr>
                <w:rFonts w:ascii="Calibri" w:hAnsi="Calibri" w:cstheme="minorHAnsi"/>
              </w:rPr>
              <w:t>£12,000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£4,000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£4,000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£8,000</w:t>
            </w:r>
          </w:p>
        </w:tc>
      </w:tr>
      <w:tr w:rsidR="000000F9" w:rsidRPr="00E03343" w:rsidTr="00624556">
        <w:trPr>
          <w:trHeight w:val="70"/>
        </w:trPr>
        <w:tc>
          <w:tcPr>
            <w:tcW w:w="4252" w:type="dxa"/>
          </w:tcPr>
          <w:p w:rsidR="000000F9" w:rsidRPr="000939D5" w:rsidRDefault="000000F9" w:rsidP="000000F9">
            <w:pPr>
              <w:pStyle w:val="ListParagraph"/>
              <w:ind w:left="0"/>
              <w:jc w:val="both"/>
              <w:rPr>
                <w:rFonts w:cstheme="minorHAnsi"/>
              </w:rPr>
            </w:pPr>
            <w:r w:rsidRPr="000939D5">
              <w:rPr>
                <w:rFonts w:cstheme="minorHAnsi"/>
              </w:rPr>
              <w:t>Communal bridge resurfacing</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£6,000</w:t>
            </w:r>
          </w:p>
        </w:tc>
        <w:tc>
          <w:tcPr>
            <w:tcW w:w="993" w:type="dxa"/>
            <w:vAlign w:val="center"/>
          </w:tcPr>
          <w:p w:rsidR="000000F9" w:rsidRPr="002B493B" w:rsidRDefault="000000F9" w:rsidP="000000F9">
            <w:pPr>
              <w:jc w:val="right"/>
              <w:rPr>
                <w:rFonts w:ascii="Calibri" w:hAnsi="Calibri" w:cs="Calibri"/>
              </w:rPr>
            </w:pPr>
            <w:r w:rsidRPr="002B493B">
              <w:rPr>
                <w:rFonts w:ascii="Calibri" w:hAnsi="Calibri" w:cstheme="minorHAnsi"/>
              </w:rPr>
              <w:t>£4,000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£12,000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£8,000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£4,000</w:t>
            </w:r>
          </w:p>
        </w:tc>
      </w:tr>
      <w:tr w:rsidR="000000F9" w:rsidRPr="00E03343" w:rsidTr="00624556">
        <w:trPr>
          <w:trHeight w:val="91"/>
        </w:trPr>
        <w:tc>
          <w:tcPr>
            <w:tcW w:w="4252" w:type="dxa"/>
          </w:tcPr>
          <w:p w:rsidR="000000F9" w:rsidRPr="000939D5" w:rsidRDefault="000000F9" w:rsidP="000000F9">
            <w:pPr>
              <w:pStyle w:val="ListParagraph"/>
              <w:ind w:left="0"/>
              <w:jc w:val="both"/>
              <w:rPr>
                <w:rFonts w:cstheme="minorHAnsi"/>
              </w:rPr>
            </w:pPr>
            <w:r w:rsidRPr="000939D5">
              <w:rPr>
                <w:rFonts w:cstheme="minorHAnsi"/>
              </w:rPr>
              <w:t>Bin enclosures</w:t>
            </w:r>
          </w:p>
        </w:tc>
        <w:tc>
          <w:tcPr>
            <w:tcW w:w="992" w:type="dxa"/>
            <w:vAlign w:val="center"/>
          </w:tcPr>
          <w:p w:rsidR="000000F9" w:rsidRPr="002B493B" w:rsidRDefault="000000F9" w:rsidP="000000F9">
            <w:pPr>
              <w:rPr>
                <w:rFonts w:ascii="Calibri" w:hAnsi="Calibri" w:cs="Calibri"/>
              </w:rPr>
            </w:pPr>
            <w:r w:rsidRPr="002B493B">
              <w:rPr>
                <w:rFonts w:ascii="Calibri" w:hAnsi="Calibri" w:cs="Calibri"/>
              </w:rPr>
              <w:t>-</w:t>
            </w:r>
          </w:p>
        </w:tc>
        <w:tc>
          <w:tcPr>
            <w:tcW w:w="993" w:type="dxa"/>
            <w:vAlign w:val="center"/>
          </w:tcPr>
          <w:p w:rsidR="000000F9" w:rsidRPr="002B493B" w:rsidRDefault="000000F9" w:rsidP="000000F9">
            <w:pPr>
              <w:rPr>
                <w:rFonts w:ascii="Calibri" w:hAnsi="Calibri" w:cs="Calibri"/>
              </w:rPr>
            </w:pPr>
            <w:r w:rsidRPr="002B493B">
              <w:rPr>
                <w:rFonts w:ascii="Calibri" w:hAnsi="Calibri" w:cs="Calibri"/>
              </w:rPr>
              <w:t>-</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£6,000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£2,000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£4,000</w:t>
            </w:r>
          </w:p>
        </w:tc>
      </w:tr>
      <w:tr w:rsidR="000000F9" w:rsidRPr="00E03343" w:rsidTr="00624556">
        <w:trPr>
          <w:trHeight w:val="70"/>
        </w:trPr>
        <w:tc>
          <w:tcPr>
            <w:tcW w:w="4252" w:type="dxa"/>
          </w:tcPr>
          <w:p w:rsidR="000000F9" w:rsidRPr="000939D5" w:rsidRDefault="000000F9" w:rsidP="000000F9">
            <w:pPr>
              <w:pStyle w:val="ListParagraph"/>
              <w:ind w:left="0"/>
              <w:jc w:val="both"/>
              <w:rPr>
                <w:rFonts w:cstheme="minorHAnsi"/>
              </w:rPr>
            </w:pPr>
            <w:r w:rsidRPr="000939D5">
              <w:rPr>
                <w:rFonts w:cstheme="minorHAnsi"/>
              </w:rPr>
              <w:t>Bicycle stands</w:t>
            </w:r>
          </w:p>
        </w:tc>
        <w:tc>
          <w:tcPr>
            <w:tcW w:w="992" w:type="dxa"/>
            <w:vAlign w:val="center"/>
          </w:tcPr>
          <w:p w:rsidR="000000F9" w:rsidRPr="002B493B" w:rsidRDefault="000000F9" w:rsidP="000000F9">
            <w:pPr>
              <w:rPr>
                <w:rFonts w:ascii="Calibri" w:hAnsi="Calibri" w:cs="Calibri"/>
              </w:rPr>
            </w:pPr>
            <w:r w:rsidRPr="002B493B">
              <w:rPr>
                <w:rFonts w:ascii="Calibri" w:hAnsi="Calibri" w:cs="Calibri"/>
              </w:rPr>
              <w:t>-</w:t>
            </w:r>
          </w:p>
        </w:tc>
        <w:tc>
          <w:tcPr>
            <w:tcW w:w="993" w:type="dxa"/>
            <w:vAlign w:val="center"/>
          </w:tcPr>
          <w:p w:rsidR="000000F9" w:rsidRPr="002B493B" w:rsidRDefault="000000F9" w:rsidP="000000F9">
            <w:pPr>
              <w:jc w:val="right"/>
              <w:rPr>
                <w:rFonts w:ascii="Calibri" w:hAnsi="Calibri" w:cs="Calibri"/>
              </w:rPr>
            </w:pPr>
            <w:r w:rsidRPr="002B493B">
              <w:rPr>
                <w:rFonts w:ascii="Calibri" w:hAnsi="Calibri" w:cstheme="minorHAnsi"/>
              </w:rPr>
              <w:t>£6,000</w:t>
            </w:r>
          </w:p>
        </w:tc>
        <w:tc>
          <w:tcPr>
            <w:tcW w:w="992" w:type="dxa"/>
            <w:vAlign w:val="center"/>
          </w:tcPr>
          <w:p w:rsidR="000000F9" w:rsidRPr="002B493B" w:rsidRDefault="000000F9" w:rsidP="000000F9">
            <w:pPr>
              <w:rPr>
                <w:rFonts w:ascii="Calibri" w:hAnsi="Calibri" w:cs="Calibri"/>
              </w:rPr>
            </w:pPr>
            <w:r w:rsidRPr="002B493B">
              <w:rPr>
                <w:rFonts w:ascii="Calibri" w:hAnsi="Calibri" w:cs="Calibri"/>
              </w:rPr>
              <w:t>-</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£4,000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£4,000</w:t>
            </w:r>
          </w:p>
        </w:tc>
      </w:tr>
      <w:tr w:rsidR="000000F9" w:rsidRPr="00E03343" w:rsidTr="00624556">
        <w:trPr>
          <w:trHeight w:val="70"/>
        </w:trPr>
        <w:tc>
          <w:tcPr>
            <w:tcW w:w="4252" w:type="dxa"/>
          </w:tcPr>
          <w:p w:rsidR="000000F9" w:rsidRPr="000939D5" w:rsidRDefault="000000F9" w:rsidP="000000F9">
            <w:pPr>
              <w:pStyle w:val="ListParagraph"/>
              <w:ind w:left="0"/>
              <w:jc w:val="both"/>
              <w:rPr>
                <w:rFonts w:cstheme="minorHAnsi"/>
              </w:rPr>
            </w:pPr>
            <w:r w:rsidRPr="000939D5">
              <w:rPr>
                <w:rFonts w:cstheme="minorHAnsi"/>
              </w:rPr>
              <w:t>Fobs for all the estate pedestrian gates</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£6,000</w:t>
            </w:r>
          </w:p>
        </w:tc>
        <w:tc>
          <w:tcPr>
            <w:tcW w:w="993" w:type="dxa"/>
            <w:vAlign w:val="center"/>
          </w:tcPr>
          <w:p w:rsidR="000000F9" w:rsidRPr="002B493B" w:rsidRDefault="000000F9" w:rsidP="000000F9">
            <w:pPr>
              <w:jc w:val="right"/>
              <w:rPr>
                <w:rFonts w:ascii="Calibri" w:hAnsi="Calibri" w:cs="Calibri"/>
              </w:rPr>
            </w:pPr>
            <w:r w:rsidRPr="002B493B">
              <w:rPr>
                <w:rFonts w:ascii="Calibri" w:hAnsi="Calibri" w:cstheme="minorHAnsi"/>
              </w:rPr>
              <w:t>£6,000</w:t>
            </w:r>
          </w:p>
        </w:tc>
        <w:tc>
          <w:tcPr>
            <w:tcW w:w="992" w:type="dxa"/>
            <w:vAlign w:val="center"/>
          </w:tcPr>
          <w:p w:rsidR="000000F9" w:rsidRPr="002B493B" w:rsidRDefault="000000F9" w:rsidP="000000F9">
            <w:pPr>
              <w:rPr>
                <w:rFonts w:ascii="Calibri" w:hAnsi="Calibri" w:cs="Calibri"/>
              </w:rPr>
            </w:pPr>
            <w:r w:rsidRPr="002B493B">
              <w:rPr>
                <w:rFonts w:ascii="Calibri" w:hAnsi="Calibri" w:cs="Calibri"/>
              </w:rPr>
              <w:t>-</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£6,000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Calibri"/>
              </w:rPr>
              <w:t>£2,000</w:t>
            </w:r>
          </w:p>
        </w:tc>
      </w:tr>
      <w:tr w:rsidR="000000F9" w:rsidRPr="00E03343" w:rsidTr="00624556">
        <w:trPr>
          <w:trHeight w:val="70"/>
        </w:trPr>
        <w:tc>
          <w:tcPr>
            <w:tcW w:w="4252" w:type="dxa"/>
          </w:tcPr>
          <w:p w:rsidR="000000F9" w:rsidRPr="000939D5" w:rsidRDefault="000000F9" w:rsidP="000000F9">
            <w:pPr>
              <w:pStyle w:val="BodyText2"/>
              <w:spacing w:after="0" w:line="240" w:lineRule="auto"/>
              <w:jc w:val="both"/>
              <w:rPr>
                <w:rFonts w:asciiTheme="minorHAnsi" w:eastAsiaTheme="minorHAnsi" w:hAnsiTheme="minorHAnsi" w:cstheme="minorHAnsi"/>
                <w:color w:val="auto"/>
                <w:sz w:val="22"/>
                <w:szCs w:val="22"/>
                <w:lang w:val="en-GB" w:eastAsia="en-US"/>
              </w:rPr>
            </w:pPr>
            <w:r w:rsidRPr="000939D5">
              <w:rPr>
                <w:rFonts w:asciiTheme="minorHAnsi" w:eastAsiaTheme="minorHAnsi" w:hAnsiTheme="minorHAnsi" w:cstheme="minorHAnsi"/>
                <w:color w:val="auto"/>
                <w:sz w:val="22"/>
                <w:szCs w:val="22"/>
                <w:lang w:val="en-GB" w:eastAsia="en-US"/>
              </w:rPr>
              <w:t>After hours security / ASB issues</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£4,000</w:t>
            </w:r>
          </w:p>
        </w:tc>
        <w:tc>
          <w:tcPr>
            <w:tcW w:w="993" w:type="dxa"/>
            <w:vAlign w:val="center"/>
          </w:tcPr>
          <w:p w:rsidR="000000F9" w:rsidRPr="002B493B" w:rsidRDefault="000000F9" w:rsidP="000000F9">
            <w:pPr>
              <w:jc w:val="right"/>
              <w:rPr>
                <w:rFonts w:ascii="Calibri" w:hAnsi="Calibri" w:cs="Calibri"/>
              </w:rPr>
            </w:pPr>
            <w:r w:rsidRPr="002B493B">
              <w:rPr>
                <w:rFonts w:ascii="Calibri" w:hAnsi="Calibri" w:cstheme="minorHAnsi"/>
              </w:rPr>
              <w:t>£4,000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£2,000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£6,000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£4,000</w:t>
            </w:r>
          </w:p>
        </w:tc>
      </w:tr>
      <w:tr w:rsidR="000000F9" w:rsidRPr="00E03343" w:rsidTr="00624556">
        <w:trPr>
          <w:trHeight w:val="78"/>
        </w:trPr>
        <w:tc>
          <w:tcPr>
            <w:tcW w:w="4252" w:type="dxa"/>
          </w:tcPr>
          <w:p w:rsidR="000000F9" w:rsidRPr="000939D5" w:rsidRDefault="000000F9" w:rsidP="000000F9">
            <w:pPr>
              <w:pStyle w:val="BodyText2"/>
              <w:spacing w:after="0" w:line="240" w:lineRule="auto"/>
              <w:jc w:val="both"/>
              <w:rPr>
                <w:rFonts w:asciiTheme="minorHAnsi" w:eastAsiaTheme="minorHAnsi" w:hAnsiTheme="minorHAnsi" w:cstheme="minorHAnsi"/>
                <w:color w:val="auto"/>
                <w:sz w:val="22"/>
                <w:szCs w:val="22"/>
                <w:lang w:val="en-GB" w:eastAsia="en-US"/>
              </w:rPr>
            </w:pPr>
            <w:r w:rsidRPr="000939D5">
              <w:rPr>
                <w:rFonts w:asciiTheme="minorHAnsi" w:eastAsiaTheme="minorHAnsi" w:hAnsiTheme="minorHAnsi" w:cstheme="minorHAnsi"/>
                <w:color w:val="auto"/>
                <w:sz w:val="22"/>
                <w:szCs w:val="22"/>
                <w:lang w:val="en-GB" w:eastAsia="en-US"/>
              </w:rPr>
              <w:t>Security review (CCTV, gates, etc.)</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£2,000</w:t>
            </w:r>
          </w:p>
        </w:tc>
        <w:tc>
          <w:tcPr>
            <w:tcW w:w="993" w:type="dxa"/>
            <w:vAlign w:val="center"/>
          </w:tcPr>
          <w:p w:rsidR="000000F9" w:rsidRPr="002B493B" w:rsidRDefault="000000F9" w:rsidP="000000F9">
            <w:pPr>
              <w:jc w:val="right"/>
              <w:rPr>
                <w:rFonts w:ascii="Calibri" w:hAnsi="Calibri" w:cs="Calibri"/>
              </w:rPr>
            </w:pPr>
            <w:r w:rsidRPr="002B493B">
              <w:rPr>
                <w:rFonts w:ascii="Calibri" w:hAnsi="Calibri" w:cstheme="minorHAnsi"/>
              </w:rPr>
              <w:t>£4,000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£6,000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£6,000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£6,000</w:t>
            </w:r>
          </w:p>
        </w:tc>
      </w:tr>
      <w:tr w:rsidR="000000F9" w:rsidRPr="00E03343" w:rsidTr="00624556">
        <w:trPr>
          <w:trHeight w:val="70"/>
        </w:trPr>
        <w:tc>
          <w:tcPr>
            <w:tcW w:w="4252" w:type="dxa"/>
          </w:tcPr>
          <w:p w:rsidR="000000F9" w:rsidRPr="000939D5" w:rsidRDefault="000000F9" w:rsidP="000000F9">
            <w:pPr>
              <w:pStyle w:val="BodyText2"/>
              <w:spacing w:after="0" w:line="240" w:lineRule="auto"/>
              <w:jc w:val="both"/>
              <w:rPr>
                <w:rFonts w:asciiTheme="minorHAnsi" w:eastAsiaTheme="minorHAnsi" w:hAnsiTheme="minorHAnsi" w:cstheme="minorHAnsi"/>
                <w:color w:val="auto"/>
                <w:sz w:val="22"/>
                <w:szCs w:val="22"/>
                <w:lang w:val="en-GB" w:eastAsia="en-US"/>
              </w:rPr>
            </w:pPr>
            <w:r w:rsidRPr="000939D5">
              <w:rPr>
                <w:rFonts w:asciiTheme="minorHAnsi" w:eastAsiaTheme="minorHAnsi" w:hAnsiTheme="minorHAnsi" w:cstheme="minorHAnsi"/>
                <w:color w:val="auto"/>
                <w:sz w:val="22"/>
                <w:szCs w:val="22"/>
                <w:lang w:val="en-GB" w:eastAsia="en-US"/>
              </w:rPr>
              <w:t>Any other key Health &amp; Safety issues</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£2,000</w:t>
            </w:r>
          </w:p>
        </w:tc>
        <w:tc>
          <w:tcPr>
            <w:tcW w:w="993" w:type="dxa"/>
            <w:vAlign w:val="center"/>
          </w:tcPr>
          <w:p w:rsidR="000000F9" w:rsidRPr="002B493B" w:rsidRDefault="000000F9" w:rsidP="000000F9">
            <w:pPr>
              <w:jc w:val="right"/>
              <w:rPr>
                <w:rFonts w:ascii="Calibri" w:hAnsi="Calibri" w:cs="Calibri"/>
              </w:rPr>
            </w:pPr>
            <w:r w:rsidRPr="002B493B">
              <w:rPr>
                <w:rFonts w:ascii="Calibri" w:hAnsi="Calibri" w:cstheme="minorHAnsi"/>
              </w:rPr>
              <w:t>£6,000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£4,000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£4,000</w:t>
            </w:r>
          </w:p>
        </w:tc>
        <w:tc>
          <w:tcPr>
            <w:tcW w:w="992" w:type="dxa"/>
            <w:vAlign w:val="center"/>
          </w:tcPr>
          <w:p w:rsidR="000000F9" w:rsidRPr="002B493B" w:rsidRDefault="000000F9" w:rsidP="000000F9">
            <w:pPr>
              <w:jc w:val="right"/>
              <w:rPr>
                <w:rFonts w:ascii="Calibri" w:hAnsi="Calibri" w:cs="Calibri"/>
              </w:rPr>
            </w:pPr>
            <w:r w:rsidRPr="002B493B">
              <w:rPr>
                <w:rFonts w:ascii="Calibri" w:hAnsi="Calibri" w:cstheme="minorHAnsi"/>
              </w:rPr>
              <w:t>£6,000</w:t>
            </w:r>
          </w:p>
        </w:tc>
      </w:tr>
      <w:tr w:rsidR="000000F9" w:rsidRPr="00E03343" w:rsidTr="00624556">
        <w:trPr>
          <w:trHeight w:val="70"/>
        </w:trPr>
        <w:tc>
          <w:tcPr>
            <w:tcW w:w="4252" w:type="dxa"/>
          </w:tcPr>
          <w:p w:rsidR="000000F9" w:rsidRPr="000939D5" w:rsidRDefault="000000F9" w:rsidP="000000F9">
            <w:pPr>
              <w:pStyle w:val="BodyText2"/>
              <w:spacing w:after="0" w:line="240" w:lineRule="auto"/>
              <w:jc w:val="both"/>
              <w:rPr>
                <w:rFonts w:asciiTheme="minorHAnsi" w:eastAsiaTheme="minorHAnsi" w:hAnsiTheme="minorHAnsi" w:cstheme="minorHAnsi"/>
                <w:b/>
                <w:color w:val="auto"/>
                <w:sz w:val="22"/>
                <w:szCs w:val="22"/>
                <w:lang w:val="en-GB" w:eastAsia="en-US"/>
              </w:rPr>
            </w:pPr>
            <w:r w:rsidRPr="000939D5">
              <w:rPr>
                <w:rFonts w:asciiTheme="minorHAnsi" w:eastAsiaTheme="minorHAnsi" w:hAnsiTheme="minorHAnsi" w:cstheme="minorHAnsi"/>
                <w:b/>
                <w:color w:val="auto"/>
                <w:sz w:val="22"/>
                <w:szCs w:val="22"/>
                <w:lang w:val="en-GB" w:eastAsia="en-US"/>
              </w:rPr>
              <w:t>Indicative annual provision</w:t>
            </w:r>
          </w:p>
        </w:tc>
        <w:tc>
          <w:tcPr>
            <w:tcW w:w="992" w:type="dxa"/>
            <w:vAlign w:val="center"/>
          </w:tcPr>
          <w:p w:rsidR="000000F9" w:rsidRPr="002B493B" w:rsidRDefault="000000F9" w:rsidP="000000F9">
            <w:pPr>
              <w:jc w:val="right"/>
              <w:rPr>
                <w:rFonts w:ascii="Calibri" w:hAnsi="Calibri" w:cs="Calibri"/>
                <w:b/>
                <w:bCs/>
              </w:rPr>
            </w:pPr>
            <w:r w:rsidRPr="002B493B">
              <w:rPr>
                <w:rFonts w:ascii="Calibri" w:hAnsi="Calibri" w:cstheme="minorHAnsi"/>
                <w:b/>
                <w:bCs/>
              </w:rPr>
              <w:t>£50,000</w:t>
            </w:r>
          </w:p>
        </w:tc>
        <w:tc>
          <w:tcPr>
            <w:tcW w:w="993" w:type="dxa"/>
            <w:vAlign w:val="center"/>
          </w:tcPr>
          <w:p w:rsidR="000000F9" w:rsidRPr="002B493B" w:rsidRDefault="000000F9" w:rsidP="000000F9">
            <w:pPr>
              <w:jc w:val="right"/>
              <w:rPr>
                <w:rFonts w:ascii="Calibri" w:hAnsi="Calibri" w:cs="Calibri"/>
                <w:b/>
                <w:bCs/>
              </w:rPr>
            </w:pPr>
            <w:r w:rsidRPr="002B493B">
              <w:rPr>
                <w:rFonts w:ascii="Calibri" w:hAnsi="Calibri" w:cstheme="minorHAnsi"/>
                <w:b/>
                <w:bCs/>
              </w:rPr>
              <w:t>£50,000</w:t>
            </w:r>
          </w:p>
        </w:tc>
        <w:tc>
          <w:tcPr>
            <w:tcW w:w="992" w:type="dxa"/>
            <w:vAlign w:val="center"/>
          </w:tcPr>
          <w:p w:rsidR="000000F9" w:rsidRPr="002B493B" w:rsidRDefault="000000F9" w:rsidP="000000F9">
            <w:pPr>
              <w:jc w:val="right"/>
              <w:rPr>
                <w:rFonts w:ascii="Calibri" w:hAnsi="Calibri" w:cs="Calibri"/>
                <w:b/>
                <w:bCs/>
              </w:rPr>
            </w:pPr>
            <w:r w:rsidRPr="002B493B">
              <w:rPr>
                <w:rFonts w:ascii="Calibri" w:hAnsi="Calibri" w:cstheme="minorHAnsi"/>
                <w:b/>
                <w:bCs/>
              </w:rPr>
              <w:t>£50,000</w:t>
            </w:r>
          </w:p>
        </w:tc>
        <w:tc>
          <w:tcPr>
            <w:tcW w:w="992" w:type="dxa"/>
            <w:vAlign w:val="center"/>
          </w:tcPr>
          <w:p w:rsidR="000000F9" w:rsidRPr="002B493B" w:rsidRDefault="000000F9" w:rsidP="000000F9">
            <w:pPr>
              <w:jc w:val="right"/>
              <w:rPr>
                <w:rFonts w:ascii="Calibri" w:hAnsi="Calibri" w:cs="Calibri"/>
                <w:b/>
                <w:bCs/>
              </w:rPr>
            </w:pPr>
            <w:r w:rsidRPr="002B493B">
              <w:rPr>
                <w:rFonts w:ascii="Calibri" w:hAnsi="Calibri" w:cstheme="minorHAnsi"/>
                <w:b/>
                <w:bCs/>
              </w:rPr>
              <w:t>£50,000</w:t>
            </w:r>
          </w:p>
        </w:tc>
        <w:tc>
          <w:tcPr>
            <w:tcW w:w="992" w:type="dxa"/>
            <w:vAlign w:val="center"/>
          </w:tcPr>
          <w:p w:rsidR="000000F9" w:rsidRPr="002B493B" w:rsidRDefault="000000F9" w:rsidP="000000F9">
            <w:pPr>
              <w:jc w:val="right"/>
              <w:rPr>
                <w:rFonts w:ascii="Calibri" w:hAnsi="Calibri" w:cs="Calibri"/>
                <w:b/>
                <w:bCs/>
              </w:rPr>
            </w:pPr>
            <w:r w:rsidRPr="002B493B">
              <w:rPr>
                <w:rFonts w:ascii="Calibri" w:hAnsi="Calibri" w:cstheme="minorHAnsi"/>
                <w:b/>
                <w:bCs/>
              </w:rPr>
              <w:t>£50,000</w:t>
            </w:r>
          </w:p>
        </w:tc>
      </w:tr>
    </w:tbl>
    <w:p w:rsidR="00D809C3" w:rsidRPr="00E03343" w:rsidRDefault="00D809C3" w:rsidP="00930D98">
      <w:pPr>
        <w:pStyle w:val="ListParagraph"/>
        <w:numPr>
          <w:ilvl w:val="1"/>
          <w:numId w:val="18"/>
        </w:numPr>
        <w:ind w:left="709"/>
        <w:jc w:val="both"/>
      </w:pPr>
      <w:r w:rsidRPr="00E03343">
        <w:t>Risks and issues</w:t>
      </w:r>
    </w:p>
    <w:p w:rsidR="00D809C3" w:rsidRPr="00E03343" w:rsidRDefault="00D809C3" w:rsidP="00930D98">
      <w:pPr>
        <w:pStyle w:val="ListParagraph"/>
        <w:ind w:left="709"/>
        <w:jc w:val="both"/>
      </w:pPr>
    </w:p>
    <w:p w:rsidR="00D809C3" w:rsidRPr="00E03343" w:rsidRDefault="00D809C3" w:rsidP="00930D98">
      <w:pPr>
        <w:pStyle w:val="ListParagraph"/>
        <w:ind w:left="360"/>
        <w:jc w:val="both"/>
        <w:rPr>
          <w:rFonts w:cstheme="minorHAnsi"/>
        </w:rPr>
      </w:pPr>
      <w:r w:rsidRPr="00E03343">
        <w:rPr>
          <w:rFonts w:cstheme="minorHAnsi"/>
        </w:rPr>
        <w:t>In setting out our strategic and operational objectives we have assessed the risks and issues we face and which may prevent or hinder the TMO in achieving its aims.</w:t>
      </w:r>
    </w:p>
    <w:p w:rsidR="00D809C3" w:rsidRPr="00E03343" w:rsidRDefault="00D809C3" w:rsidP="00930D98">
      <w:pPr>
        <w:pStyle w:val="ListParagraph"/>
        <w:ind w:left="360"/>
        <w:jc w:val="both"/>
        <w:rPr>
          <w:rFonts w:cstheme="minorHAnsi"/>
        </w:rPr>
      </w:pPr>
    </w:p>
    <w:p w:rsidR="00D809C3" w:rsidRPr="00E03343" w:rsidRDefault="00D809C3" w:rsidP="00930D98">
      <w:pPr>
        <w:pStyle w:val="ListParagraph"/>
        <w:ind w:left="360"/>
        <w:jc w:val="both"/>
        <w:rPr>
          <w:rFonts w:cstheme="minorHAnsi"/>
        </w:rPr>
      </w:pPr>
      <w:r w:rsidRPr="00E03343">
        <w:rPr>
          <w:rFonts w:cstheme="minorHAnsi"/>
        </w:rPr>
        <w:t>Promoting the Right to Manage and supporting the creation of new TMOs continues to be supported by the Department for Communities and Local Government (dCLG). However, the impact of the Housing and Planning Bill and the current austerity is likely to be significant on KSHC, including the possibility of reduction of the MMA income.</w:t>
      </w:r>
    </w:p>
    <w:p w:rsidR="00D809C3" w:rsidRPr="00E03343" w:rsidRDefault="00D809C3" w:rsidP="00930D98">
      <w:pPr>
        <w:pStyle w:val="ListParagraph"/>
        <w:ind w:left="360"/>
        <w:jc w:val="both"/>
        <w:rPr>
          <w:rFonts w:cstheme="minorHAnsi"/>
        </w:rPr>
      </w:pPr>
    </w:p>
    <w:p w:rsidR="00DB25F2" w:rsidRPr="00920A1B" w:rsidRDefault="00D809C3" w:rsidP="00920A1B">
      <w:pPr>
        <w:pStyle w:val="ListParagraph"/>
        <w:ind w:left="360"/>
        <w:jc w:val="both"/>
        <w:rPr>
          <w:rFonts w:cstheme="minorHAnsi"/>
        </w:rPr>
      </w:pPr>
      <w:r w:rsidRPr="00E03343">
        <w:rPr>
          <w:rFonts w:cstheme="minorHAnsi"/>
        </w:rPr>
        <w:t>Welfare reform proposals are also likely to have a negative impact on TMOs along with other social housing organisations, particularly the effect of the direct payment of housing benefit to working age tenants and the potential for more people to fall into arrears. In common with residents in other TMOs in London, the impact of sanctioning will hit those residents least able to cope, including those suffering from mental illness.</w:t>
      </w:r>
    </w:p>
    <w:tbl>
      <w:tblPr>
        <w:tblStyle w:val="TableGrid"/>
        <w:tblW w:w="9268" w:type="dxa"/>
        <w:tblInd w:w="421" w:type="dxa"/>
        <w:tblLook w:val="04A0" w:firstRow="1" w:lastRow="0" w:firstColumn="1" w:lastColumn="0" w:noHBand="0" w:noVBand="1"/>
      </w:tblPr>
      <w:tblGrid>
        <w:gridCol w:w="2317"/>
        <w:gridCol w:w="2317"/>
        <w:gridCol w:w="2317"/>
        <w:gridCol w:w="2317"/>
      </w:tblGrid>
      <w:tr w:rsidR="000137BF" w:rsidRPr="00E03343" w:rsidTr="002B493B">
        <w:tc>
          <w:tcPr>
            <w:tcW w:w="2317" w:type="dxa"/>
          </w:tcPr>
          <w:p w:rsidR="000137BF" w:rsidRPr="00E03343" w:rsidRDefault="000137BF" w:rsidP="00FA5445">
            <w:pPr>
              <w:pStyle w:val="Default"/>
              <w:ind w:left="29"/>
              <w:jc w:val="both"/>
              <w:rPr>
                <w:rFonts w:asciiTheme="minorHAnsi" w:hAnsiTheme="minorHAnsi" w:cstheme="minorHAnsi"/>
                <w:b/>
                <w:color w:val="auto"/>
                <w:sz w:val="22"/>
                <w:szCs w:val="22"/>
              </w:rPr>
            </w:pPr>
            <w:r w:rsidRPr="00E03343">
              <w:rPr>
                <w:rFonts w:asciiTheme="minorHAnsi" w:hAnsiTheme="minorHAnsi" w:cstheme="minorHAnsi"/>
                <w:b/>
                <w:color w:val="auto"/>
                <w:sz w:val="22"/>
                <w:szCs w:val="22"/>
              </w:rPr>
              <w:t xml:space="preserve">Risk/Issue </w:t>
            </w:r>
          </w:p>
        </w:tc>
        <w:tc>
          <w:tcPr>
            <w:tcW w:w="2317" w:type="dxa"/>
          </w:tcPr>
          <w:p w:rsidR="000137BF" w:rsidRPr="00E03343" w:rsidRDefault="000137BF" w:rsidP="00930D98">
            <w:pPr>
              <w:pStyle w:val="Default"/>
              <w:jc w:val="both"/>
              <w:rPr>
                <w:rFonts w:asciiTheme="minorHAnsi" w:hAnsiTheme="minorHAnsi" w:cstheme="minorHAnsi"/>
                <w:b/>
                <w:color w:val="auto"/>
                <w:sz w:val="22"/>
                <w:szCs w:val="22"/>
              </w:rPr>
            </w:pPr>
            <w:r w:rsidRPr="00E03343">
              <w:rPr>
                <w:rFonts w:asciiTheme="minorHAnsi" w:hAnsiTheme="minorHAnsi" w:cstheme="minorHAnsi"/>
                <w:b/>
                <w:color w:val="auto"/>
                <w:sz w:val="22"/>
                <w:szCs w:val="22"/>
              </w:rPr>
              <w:t xml:space="preserve">Impact </w:t>
            </w:r>
          </w:p>
        </w:tc>
        <w:tc>
          <w:tcPr>
            <w:tcW w:w="2317" w:type="dxa"/>
          </w:tcPr>
          <w:p w:rsidR="000137BF" w:rsidRPr="00E03343" w:rsidRDefault="000137BF" w:rsidP="00930D98">
            <w:pPr>
              <w:pStyle w:val="Default"/>
              <w:jc w:val="both"/>
              <w:rPr>
                <w:rFonts w:asciiTheme="minorHAnsi" w:hAnsiTheme="minorHAnsi" w:cstheme="minorHAnsi"/>
                <w:b/>
                <w:color w:val="auto"/>
                <w:sz w:val="22"/>
                <w:szCs w:val="22"/>
              </w:rPr>
            </w:pPr>
            <w:r w:rsidRPr="00E03343">
              <w:rPr>
                <w:rFonts w:asciiTheme="minorHAnsi" w:hAnsiTheme="minorHAnsi" w:cstheme="minorHAnsi"/>
                <w:b/>
                <w:color w:val="auto"/>
                <w:sz w:val="22"/>
                <w:szCs w:val="22"/>
              </w:rPr>
              <w:t xml:space="preserve">Likelihood </w:t>
            </w:r>
          </w:p>
        </w:tc>
        <w:tc>
          <w:tcPr>
            <w:tcW w:w="2317" w:type="dxa"/>
          </w:tcPr>
          <w:p w:rsidR="000137BF" w:rsidRPr="00E03343" w:rsidRDefault="000137BF" w:rsidP="00930D98">
            <w:pPr>
              <w:pStyle w:val="Default"/>
              <w:jc w:val="both"/>
              <w:rPr>
                <w:rFonts w:asciiTheme="minorHAnsi" w:hAnsiTheme="minorHAnsi" w:cstheme="minorHAnsi"/>
                <w:b/>
                <w:color w:val="auto"/>
                <w:sz w:val="22"/>
                <w:szCs w:val="22"/>
              </w:rPr>
            </w:pPr>
            <w:r w:rsidRPr="00E03343">
              <w:rPr>
                <w:rFonts w:asciiTheme="minorHAnsi" w:hAnsiTheme="minorHAnsi" w:cstheme="minorHAnsi"/>
                <w:b/>
                <w:color w:val="auto"/>
                <w:sz w:val="22"/>
                <w:szCs w:val="22"/>
              </w:rPr>
              <w:t xml:space="preserve">Action </w:t>
            </w:r>
          </w:p>
        </w:tc>
      </w:tr>
      <w:tr w:rsidR="000137BF" w:rsidRPr="00E03343" w:rsidTr="002B493B">
        <w:tc>
          <w:tcPr>
            <w:tcW w:w="9268" w:type="dxa"/>
            <w:gridSpan w:val="4"/>
          </w:tcPr>
          <w:p w:rsidR="000137BF" w:rsidRPr="00E03343" w:rsidRDefault="000137BF" w:rsidP="00930D98">
            <w:pPr>
              <w:pStyle w:val="Default"/>
              <w:jc w:val="both"/>
              <w:rPr>
                <w:rFonts w:asciiTheme="minorHAnsi" w:hAnsiTheme="minorHAnsi" w:cstheme="minorHAnsi"/>
                <w:b/>
                <w:i/>
                <w:color w:val="auto"/>
                <w:sz w:val="22"/>
                <w:szCs w:val="22"/>
              </w:rPr>
            </w:pPr>
            <w:r w:rsidRPr="00E03343">
              <w:rPr>
                <w:rFonts w:asciiTheme="minorHAnsi" w:hAnsiTheme="minorHAnsi" w:cstheme="minorHAnsi"/>
                <w:b/>
                <w:i/>
                <w:color w:val="auto"/>
                <w:sz w:val="22"/>
                <w:szCs w:val="22"/>
              </w:rPr>
              <w:t>Community</w:t>
            </w:r>
          </w:p>
        </w:tc>
      </w:tr>
      <w:tr w:rsidR="000137BF" w:rsidRPr="00E03343" w:rsidTr="002B493B">
        <w:tc>
          <w:tcPr>
            <w:tcW w:w="2317" w:type="dxa"/>
          </w:tcPr>
          <w:p w:rsidR="000137BF" w:rsidRPr="00E03343" w:rsidRDefault="000137BF" w:rsidP="00FA5445">
            <w:pPr>
              <w:pStyle w:val="Default"/>
              <w:rPr>
                <w:rFonts w:asciiTheme="minorHAnsi" w:hAnsiTheme="minorHAnsi" w:cstheme="minorHAnsi"/>
                <w:color w:val="auto"/>
                <w:sz w:val="22"/>
                <w:szCs w:val="22"/>
              </w:rPr>
            </w:pPr>
            <w:r w:rsidRPr="00E03343">
              <w:rPr>
                <w:rFonts w:asciiTheme="minorHAnsi" w:hAnsiTheme="minorHAnsi" w:cstheme="minorHAnsi"/>
                <w:color w:val="auto"/>
                <w:sz w:val="22"/>
                <w:szCs w:val="22"/>
              </w:rPr>
              <w:t>Issue: Impact of Housing and Planning Bill</w:t>
            </w:r>
          </w:p>
        </w:tc>
        <w:tc>
          <w:tcPr>
            <w:tcW w:w="2317" w:type="dxa"/>
          </w:tcPr>
          <w:p w:rsidR="000137BF" w:rsidRPr="00E03343" w:rsidRDefault="00FA5445" w:rsidP="00930D98">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High</w:t>
            </w:r>
          </w:p>
        </w:tc>
        <w:tc>
          <w:tcPr>
            <w:tcW w:w="2317" w:type="dxa"/>
          </w:tcPr>
          <w:p w:rsidR="000137BF" w:rsidRPr="00E03343" w:rsidRDefault="00FA5445" w:rsidP="00930D98">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Medium</w:t>
            </w:r>
          </w:p>
        </w:tc>
        <w:tc>
          <w:tcPr>
            <w:tcW w:w="2317" w:type="dxa"/>
          </w:tcPr>
          <w:p w:rsidR="000137BF" w:rsidRPr="00E03343" w:rsidRDefault="000137BF" w:rsidP="00FA5445">
            <w:pPr>
              <w:pStyle w:val="Default"/>
              <w:rPr>
                <w:rFonts w:asciiTheme="minorHAnsi" w:hAnsiTheme="minorHAnsi" w:cstheme="minorHAnsi"/>
                <w:color w:val="auto"/>
                <w:sz w:val="22"/>
                <w:szCs w:val="22"/>
              </w:rPr>
            </w:pPr>
            <w:r w:rsidRPr="00E03343">
              <w:rPr>
                <w:rFonts w:asciiTheme="minorHAnsi" w:hAnsiTheme="minorHAnsi" w:cstheme="minorHAnsi"/>
                <w:color w:val="auto"/>
                <w:sz w:val="22"/>
                <w:szCs w:val="22"/>
              </w:rPr>
              <w:t xml:space="preserve">Keep abreast of proposals and develop a detailed action plan. Review and assess impacts. </w:t>
            </w:r>
          </w:p>
        </w:tc>
      </w:tr>
      <w:tr w:rsidR="000137BF" w:rsidRPr="00E03343" w:rsidTr="002B493B">
        <w:tc>
          <w:tcPr>
            <w:tcW w:w="9268" w:type="dxa"/>
            <w:gridSpan w:val="4"/>
          </w:tcPr>
          <w:p w:rsidR="000137BF" w:rsidRPr="00E03343" w:rsidRDefault="000137BF" w:rsidP="00FA5445">
            <w:pPr>
              <w:pStyle w:val="Default"/>
              <w:rPr>
                <w:rFonts w:asciiTheme="minorHAnsi" w:hAnsiTheme="minorHAnsi" w:cstheme="minorHAnsi"/>
                <w:b/>
                <w:i/>
                <w:color w:val="auto"/>
                <w:sz w:val="22"/>
                <w:szCs w:val="22"/>
              </w:rPr>
            </w:pPr>
            <w:r w:rsidRPr="00E03343">
              <w:rPr>
                <w:rFonts w:asciiTheme="minorHAnsi" w:hAnsiTheme="minorHAnsi" w:cstheme="minorHAnsi"/>
                <w:b/>
                <w:i/>
                <w:color w:val="auto"/>
                <w:sz w:val="22"/>
                <w:szCs w:val="22"/>
              </w:rPr>
              <w:t xml:space="preserve">Governance and Organisation </w:t>
            </w:r>
          </w:p>
        </w:tc>
      </w:tr>
      <w:tr w:rsidR="000137BF" w:rsidRPr="00E03343" w:rsidTr="002B493B">
        <w:tc>
          <w:tcPr>
            <w:tcW w:w="2317" w:type="dxa"/>
          </w:tcPr>
          <w:p w:rsidR="000137BF" w:rsidRPr="00E03343" w:rsidRDefault="000137BF" w:rsidP="00FA5445">
            <w:pPr>
              <w:pStyle w:val="Default"/>
              <w:rPr>
                <w:rFonts w:asciiTheme="minorHAnsi" w:hAnsiTheme="minorHAnsi" w:cstheme="minorHAnsi"/>
                <w:color w:val="auto"/>
                <w:sz w:val="22"/>
                <w:szCs w:val="22"/>
              </w:rPr>
            </w:pPr>
            <w:r w:rsidRPr="00E03343">
              <w:rPr>
                <w:rFonts w:asciiTheme="minorHAnsi" w:hAnsiTheme="minorHAnsi" w:cstheme="minorHAnsi"/>
                <w:color w:val="auto"/>
                <w:sz w:val="22"/>
                <w:szCs w:val="22"/>
              </w:rPr>
              <w:t>Failure to win continuation ballot</w:t>
            </w:r>
          </w:p>
          <w:p w:rsidR="000137BF" w:rsidRPr="00E03343" w:rsidRDefault="000137BF" w:rsidP="00FA5445">
            <w:pPr>
              <w:pStyle w:val="Default"/>
              <w:rPr>
                <w:rFonts w:asciiTheme="minorHAnsi" w:hAnsiTheme="minorHAnsi" w:cstheme="minorHAnsi"/>
                <w:color w:val="auto"/>
                <w:sz w:val="22"/>
                <w:szCs w:val="22"/>
              </w:rPr>
            </w:pPr>
          </w:p>
          <w:p w:rsidR="000137BF" w:rsidRPr="00E03343" w:rsidRDefault="000137BF" w:rsidP="00FA5445">
            <w:pPr>
              <w:pStyle w:val="Default"/>
              <w:rPr>
                <w:rFonts w:asciiTheme="minorHAnsi" w:hAnsiTheme="minorHAnsi" w:cstheme="minorHAnsi"/>
                <w:color w:val="auto"/>
                <w:sz w:val="22"/>
                <w:szCs w:val="22"/>
              </w:rPr>
            </w:pPr>
          </w:p>
          <w:p w:rsidR="000137BF" w:rsidRPr="00E03343" w:rsidRDefault="000137BF" w:rsidP="00FA5445">
            <w:pPr>
              <w:pStyle w:val="Default"/>
              <w:rPr>
                <w:rFonts w:asciiTheme="minorHAnsi" w:hAnsiTheme="minorHAnsi" w:cstheme="minorHAnsi"/>
                <w:color w:val="auto"/>
                <w:sz w:val="22"/>
                <w:szCs w:val="22"/>
              </w:rPr>
            </w:pPr>
          </w:p>
          <w:p w:rsidR="000137BF" w:rsidRPr="00E03343" w:rsidRDefault="000137BF" w:rsidP="00FA5445">
            <w:pPr>
              <w:pStyle w:val="Default"/>
              <w:rPr>
                <w:rFonts w:asciiTheme="minorHAnsi" w:hAnsiTheme="minorHAnsi" w:cstheme="minorHAnsi"/>
                <w:color w:val="auto"/>
                <w:sz w:val="22"/>
                <w:szCs w:val="22"/>
              </w:rPr>
            </w:pPr>
            <w:r w:rsidRPr="00E03343">
              <w:rPr>
                <w:rFonts w:asciiTheme="minorHAnsi" w:hAnsiTheme="minorHAnsi" w:cstheme="minorHAnsi"/>
                <w:color w:val="auto"/>
                <w:sz w:val="22"/>
                <w:szCs w:val="22"/>
              </w:rPr>
              <w:t>Staff turnover</w:t>
            </w:r>
          </w:p>
          <w:p w:rsidR="000137BF" w:rsidRPr="00E03343" w:rsidRDefault="000137BF" w:rsidP="00FA5445">
            <w:pPr>
              <w:pStyle w:val="Default"/>
              <w:rPr>
                <w:rFonts w:asciiTheme="minorHAnsi" w:hAnsiTheme="minorHAnsi" w:cstheme="minorHAnsi"/>
                <w:color w:val="auto"/>
                <w:sz w:val="22"/>
                <w:szCs w:val="22"/>
              </w:rPr>
            </w:pPr>
          </w:p>
          <w:p w:rsidR="000137BF" w:rsidRPr="00E03343" w:rsidRDefault="000137BF" w:rsidP="00FA5445">
            <w:pPr>
              <w:pStyle w:val="Default"/>
              <w:rPr>
                <w:rFonts w:asciiTheme="minorHAnsi" w:hAnsiTheme="minorHAnsi" w:cstheme="minorHAnsi"/>
                <w:color w:val="auto"/>
                <w:sz w:val="22"/>
                <w:szCs w:val="22"/>
              </w:rPr>
            </w:pPr>
          </w:p>
          <w:p w:rsidR="000137BF" w:rsidRDefault="000137BF" w:rsidP="00FA5445">
            <w:pPr>
              <w:pStyle w:val="Default"/>
              <w:rPr>
                <w:rFonts w:asciiTheme="minorHAnsi" w:hAnsiTheme="minorHAnsi" w:cstheme="minorHAnsi"/>
                <w:color w:val="auto"/>
                <w:sz w:val="22"/>
                <w:szCs w:val="22"/>
              </w:rPr>
            </w:pPr>
          </w:p>
          <w:p w:rsidR="000137BF" w:rsidRPr="00E03343" w:rsidRDefault="000137BF" w:rsidP="00FA5445">
            <w:pPr>
              <w:pStyle w:val="Default"/>
              <w:rPr>
                <w:rFonts w:asciiTheme="minorHAnsi" w:hAnsiTheme="minorHAnsi" w:cstheme="minorHAnsi"/>
                <w:color w:val="auto"/>
                <w:sz w:val="22"/>
                <w:szCs w:val="22"/>
              </w:rPr>
            </w:pPr>
          </w:p>
          <w:p w:rsidR="000137BF" w:rsidRPr="00E03343" w:rsidRDefault="000137BF" w:rsidP="00FA5445">
            <w:pPr>
              <w:pStyle w:val="Default"/>
              <w:rPr>
                <w:rFonts w:asciiTheme="minorHAnsi" w:hAnsiTheme="minorHAnsi" w:cstheme="minorHAnsi"/>
                <w:color w:val="auto"/>
                <w:sz w:val="22"/>
                <w:szCs w:val="22"/>
              </w:rPr>
            </w:pPr>
            <w:r w:rsidRPr="00E03343">
              <w:rPr>
                <w:rFonts w:asciiTheme="minorHAnsi" w:hAnsiTheme="minorHAnsi" w:cstheme="minorHAnsi"/>
                <w:color w:val="auto"/>
                <w:sz w:val="22"/>
                <w:szCs w:val="22"/>
              </w:rPr>
              <w:t>Loss of key Board Members</w:t>
            </w:r>
          </w:p>
          <w:p w:rsidR="000137BF" w:rsidRPr="00E03343" w:rsidRDefault="000137BF" w:rsidP="00FA5445">
            <w:pPr>
              <w:pStyle w:val="Default"/>
              <w:rPr>
                <w:rFonts w:asciiTheme="minorHAnsi" w:hAnsiTheme="minorHAnsi" w:cstheme="minorHAnsi"/>
                <w:color w:val="auto"/>
                <w:sz w:val="22"/>
                <w:szCs w:val="22"/>
              </w:rPr>
            </w:pPr>
            <w:r w:rsidRPr="00E03343">
              <w:rPr>
                <w:rFonts w:asciiTheme="minorHAnsi" w:hAnsiTheme="minorHAnsi" w:cstheme="minorHAnsi"/>
                <w:color w:val="auto"/>
                <w:sz w:val="22"/>
                <w:szCs w:val="22"/>
              </w:rPr>
              <w:t>Unable to achieve increased membership targets</w:t>
            </w:r>
          </w:p>
        </w:tc>
        <w:tc>
          <w:tcPr>
            <w:tcW w:w="2317" w:type="dxa"/>
          </w:tcPr>
          <w:p w:rsidR="000137BF" w:rsidRPr="00E03343" w:rsidRDefault="000137BF"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 xml:space="preserve">High </w:t>
            </w:r>
          </w:p>
          <w:p w:rsidR="000137BF" w:rsidRPr="00E03343" w:rsidRDefault="000137BF" w:rsidP="00930D98">
            <w:pPr>
              <w:pStyle w:val="Default"/>
              <w:jc w:val="both"/>
              <w:rPr>
                <w:rFonts w:asciiTheme="minorHAnsi" w:hAnsiTheme="minorHAnsi" w:cstheme="minorHAnsi"/>
                <w:color w:val="auto"/>
                <w:sz w:val="22"/>
                <w:szCs w:val="22"/>
              </w:rPr>
            </w:pPr>
          </w:p>
          <w:p w:rsidR="000137BF" w:rsidRPr="00E03343" w:rsidRDefault="000137BF" w:rsidP="00930D98">
            <w:pPr>
              <w:pStyle w:val="Default"/>
              <w:jc w:val="both"/>
              <w:rPr>
                <w:rFonts w:asciiTheme="minorHAnsi" w:hAnsiTheme="minorHAnsi" w:cstheme="minorHAnsi"/>
                <w:color w:val="auto"/>
                <w:sz w:val="22"/>
                <w:szCs w:val="22"/>
              </w:rPr>
            </w:pPr>
          </w:p>
          <w:p w:rsidR="000137BF" w:rsidRPr="00E03343" w:rsidRDefault="000137BF" w:rsidP="00930D98">
            <w:pPr>
              <w:pStyle w:val="Default"/>
              <w:jc w:val="both"/>
              <w:rPr>
                <w:rFonts w:asciiTheme="minorHAnsi" w:hAnsiTheme="minorHAnsi" w:cstheme="minorHAnsi"/>
                <w:color w:val="auto"/>
                <w:sz w:val="22"/>
                <w:szCs w:val="22"/>
              </w:rPr>
            </w:pPr>
          </w:p>
          <w:p w:rsidR="000137BF" w:rsidRPr="00E03343" w:rsidRDefault="000137BF" w:rsidP="00930D98">
            <w:pPr>
              <w:pStyle w:val="Default"/>
              <w:jc w:val="both"/>
              <w:rPr>
                <w:rFonts w:asciiTheme="minorHAnsi" w:hAnsiTheme="minorHAnsi" w:cstheme="minorHAnsi"/>
                <w:color w:val="auto"/>
                <w:sz w:val="22"/>
                <w:szCs w:val="22"/>
              </w:rPr>
            </w:pPr>
          </w:p>
          <w:p w:rsidR="000137BF" w:rsidRPr="00E03343" w:rsidRDefault="00FA5445" w:rsidP="00930D98">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High</w:t>
            </w:r>
          </w:p>
          <w:p w:rsidR="000137BF" w:rsidRPr="00E03343" w:rsidRDefault="000137BF" w:rsidP="00930D98">
            <w:pPr>
              <w:pStyle w:val="Default"/>
              <w:jc w:val="both"/>
              <w:rPr>
                <w:rFonts w:asciiTheme="minorHAnsi" w:hAnsiTheme="minorHAnsi" w:cstheme="minorHAnsi"/>
                <w:color w:val="auto"/>
                <w:sz w:val="22"/>
                <w:szCs w:val="22"/>
              </w:rPr>
            </w:pPr>
          </w:p>
          <w:p w:rsidR="000137BF" w:rsidRPr="00E03343" w:rsidRDefault="000137BF" w:rsidP="00930D98">
            <w:pPr>
              <w:pStyle w:val="Default"/>
              <w:jc w:val="both"/>
              <w:rPr>
                <w:rFonts w:asciiTheme="minorHAnsi" w:hAnsiTheme="minorHAnsi" w:cstheme="minorHAnsi"/>
                <w:color w:val="auto"/>
                <w:sz w:val="22"/>
                <w:szCs w:val="22"/>
              </w:rPr>
            </w:pPr>
          </w:p>
          <w:p w:rsidR="00DC6129" w:rsidRPr="00E03343" w:rsidRDefault="00DC6129" w:rsidP="00930D98">
            <w:pPr>
              <w:pStyle w:val="Default"/>
              <w:jc w:val="both"/>
              <w:rPr>
                <w:rFonts w:asciiTheme="minorHAnsi" w:hAnsiTheme="minorHAnsi" w:cstheme="minorHAnsi"/>
                <w:color w:val="auto"/>
                <w:sz w:val="22"/>
                <w:szCs w:val="22"/>
              </w:rPr>
            </w:pPr>
          </w:p>
          <w:p w:rsidR="000137BF" w:rsidRPr="00E03343" w:rsidRDefault="000137BF" w:rsidP="00930D98">
            <w:pPr>
              <w:pStyle w:val="Default"/>
              <w:jc w:val="both"/>
              <w:rPr>
                <w:rFonts w:asciiTheme="minorHAnsi" w:hAnsiTheme="minorHAnsi" w:cstheme="minorHAnsi"/>
                <w:color w:val="auto"/>
                <w:sz w:val="22"/>
                <w:szCs w:val="22"/>
              </w:rPr>
            </w:pPr>
          </w:p>
          <w:p w:rsidR="000137BF" w:rsidRPr="00E03343" w:rsidRDefault="00FA5445" w:rsidP="00930D98">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High</w:t>
            </w:r>
          </w:p>
          <w:p w:rsidR="00DC6129" w:rsidRPr="00E03343" w:rsidRDefault="00DC6129" w:rsidP="00930D98">
            <w:pPr>
              <w:pStyle w:val="Default"/>
              <w:jc w:val="both"/>
              <w:rPr>
                <w:rFonts w:asciiTheme="minorHAnsi" w:hAnsiTheme="minorHAnsi" w:cstheme="minorHAnsi"/>
                <w:color w:val="auto"/>
                <w:sz w:val="22"/>
                <w:szCs w:val="22"/>
              </w:rPr>
            </w:pPr>
          </w:p>
          <w:p w:rsidR="000137BF" w:rsidRPr="00E03343" w:rsidRDefault="002B493B" w:rsidP="00930D98">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High</w:t>
            </w:r>
          </w:p>
        </w:tc>
        <w:tc>
          <w:tcPr>
            <w:tcW w:w="2317" w:type="dxa"/>
          </w:tcPr>
          <w:p w:rsidR="000137BF" w:rsidRPr="00E03343" w:rsidRDefault="000137BF"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Low</w:t>
            </w:r>
          </w:p>
          <w:p w:rsidR="000137BF" w:rsidRPr="00E03343" w:rsidRDefault="000137BF" w:rsidP="00930D98">
            <w:pPr>
              <w:pStyle w:val="Default"/>
              <w:jc w:val="both"/>
              <w:rPr>
                <w:rFonts w:asciiTheme="minorHAnsi" w:hAnsiTheme="minorHAnsi" w:cstheme="minorHAnsi"/>
                <w:color w:val="auto"/>
                <w:sz w:val="22"/>
                <w:szCs w:val="22"/>
              </w:rPr>
            </w:pPr>
          </w:p>
          <w:p w:rsidR="000137BF" w:rsidRPr="00E03343" w:rsidRDefault="000137BF" w:rsidP="00930D98">
            <w:pPr>
              <w:pStyle w:val="Default"/>
              <w:jc w:val="both"/>
              <w:rPr>
                <w:rFonts w:asciiTheme="minorHAnsi" w:hAnsiTheme="minorHAnsi" w:cstheme="minorHAnsi"/>
                <w:color w:val="auto"/>
                <w:sz w:val="22"/>
                <w:szCs w:val="22"/>
              </w:rPr>
            </w:pPr>
          </w:p>
          <w:p w:rsidR="000137BF" w:rsidRPr="00E03343" w:rsidRDefault="000137BF" w:rsidP="00930D98">
            <w:pPr>
              <w:pStyle w:val="Default"/>
              <w:jc w:val="both"/>
              <w:rPr>
                <w:rFonts w:asciiTheme="minorHAnsi" w:hAnsiTheme="minorHAnsi" w:cstheme="minorHAnsi"/>
                <w:color w:val="auto"/>
                <w:sz w:val="22"/>
                <w:szCs w:val="22"/>
              </w:rPr>
            </w:pPr>
          </w:p>
          <w:p w:rsidR="000137BF" w:rsidRPr="00E03343" w:rsidRDefault="000137BF" w:rsidP="00930D98">
            <w:pPr>
              <w:pStyle w:val="Default"/>
              <w:jc w:val="both"/>
              <w:rPr>
                <w:rFonts w:asciiTheme="minorHAnsi" w:hAnsiTheme="minorHAnsi" w:cstheme="minorHAnsi"/>
                <w:color w:val="auto"/>
                <w:sz w:val="22"/>
                <w:szCs w:val="22"/>
              </w:rPr>
            </w:pPr>
          </w:p>
          <w:p w:rsidR="000137BF" w:rsidRPr="00E03343" w:rsidRDefault="000137BF"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 xml:space="preserve">Low </w:t>
            </w:r>
          </w:p>
          <w:p w:rsidR="000137BF" w:rsidRPr="00E03343" w:rsidRDefault="000137BF" w:rsidP="00930D98">
            <w:pPr>
              <w:pStyle w:val="Default"/>
              <w:jc w:val="both"/>
              <w:rPr>
                <w:rFonts w:asciiTheme="minorHAnsi" w:hAnsiTheme="minorHAnsi" w:cstheme="minorHAnsi"/>
                <w:color w:val="auto"/>
                <w:sz w:val="22"/>
                <w:szCs w:val="22"/>
              </w:rPr>
            </w:pPr>
          </w:p>
          <w:p w:rsidR="000137BF" w:rsidRPr="00E03343" w:rsidRDefault="000137BF" w:rsidP="00930D98">
            <w:pPr>
              <w:pStyle w:val="Default"/>
              <w:jc w:val="both"/>
              <w:rPr>
                <w:rFonts w:asciiTheme="minorHAnsi" w:hAnsiTheme="minorHAnsi" w:cstheme="minorHAnsi"/>
                <w:color w:val="auto"/>
                <w:sz w:val="22"/>
                <w:szCs w:val="22"/>
              </w:rPr>
            </w:pPr>
          </w:p>
          <w:p w:rsidR="000137BF" w:rsidRPr="00E03343" w:rsidRDefault="000137BF" w:rsidP="00930D98">
            <w:pPr>
              <w:pStyle w:val="Default"/>
              <w:jc w:val="both"/>
              <w:rPr>
                <w:rFonts w:asciiTheme="minorHAnsi" w:hAnsiTheme="minorHAnsi" w:cstheme="minorHAnsi"/>
                <w:color w:val="auto"/>
                <w:sz w:val="22"/>
                <w:szCs w:val="22"/>
              </w:rPr>
            </w:pPr>
          </w:p>
          <w:p w:rsidR="000137BF" w:rsidRPr="00E03343" w:rsidRDefault="000137BF" w:rsidP="00930D98">
            <w:pPr>
              <w:pStyle w:val="Default"/>
              <w:jc w:val="both"/>
              <w:rPr>
                <w:rFonts w:asciiTheme="minorHAnsi" w:hAnsiTheme="minorHAnsi" w:cstheme="minorHAnsi"/>
                <w:color w:val="auto"/>
                <w:sz w:val="22"/>
                <w:szCs w:val="22"/>
              </w:rPr>
            </w:pPr>
          </w:p>
          <w:p w:rsidR="000137BF" w:rsidRDefault="000137BF"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Medium</w:t>
            </w:r>
            <w:r w:rsidR="002B493B">
              <w:rPr>
                <w:rFonts w:asciiTheme="minorHAnsi" w:hAnsiTheme="minorHAnsi" w:cstheme="minorHAnsi"/>
                <w:color w:val="auto"/>
                <w:sz w:val="22"/>
                <w:szCs w:val="22"/>
              </w:rPr>
              <w:t>/High</w:t>
            </w:r>
            <w:r w:rsidRPr="00E03343">
              <w:rPr>
                <w:rFonts w:asciiTheme="minorHAnsi" w:hAnsiTheme="minorHAnsi" w:cstheme="minorHAnsi"/>
                <w:color w:val="auto"/>
                <w:sz w:val="22"/>
                <w:szCs w:val="22"/>
              </w:rPr>
              <w:t xml:space="preserve"> </w:t>
            </w:r>
          </w:p>
          <w:p w:rsidR="00DC6129" w:rsidRPr="00E03343" w:rsidRDefault="00DC6129" w:rsidP="00930D98">
            <w:pPr>
              <w:pStyle w:val="Default"/>
              <w:jc w:val="both"/>
              <w:rPr>
                <w:rFonts w:asciiTheme="minorHAnsi" w:hAnsiTheme="minorHAnsi" w:cstheme="minorHAnsi"/>
                <w:color w:val="auto"/>
                <w:sz w:val="22"/>
                <w:szCs w:val="22"/>
              </w:rPr>
            </w:pPr>
          </w:p>
          <w:p w:rsidR="000137BF" w:rsidRPr="00E03343" w:rsidRDefault="000137BF"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Medium</w:t>
            </w:r>
            <w:r w:rsidR="002B493B">
              <w:rPr>
                <w:rFonts w:asciiTheme="minorHAnsi" w:hAnsiTheme="minorHAnsi" w:cstheme="minorHAnsi"/>
                <w:color w:val="auto"/>
                <w:sz w:val="22"/>
                <w:szCs w:val="22"/>
              </w:rPr>
              <w:t>/High</w:t>
            </w:r>
            <w:r w:rsidRPr="00E03343">
              <w:rPr>
                <w:rFonts w:asciiTheme="minorHAnsi" w:hAnsiTheme="minorHAnsi" w:cstheme="minorHAnsi"/>
                <w:color w:val="auto"/>
                <w:sz w:val="22"/>
                <w:szCs w:val="22"/>
              </w:rPr>
              <w:t xml:space="preserve"> </w:t>
            </w:r>
          </w:p>
        </w:tc>
        <w:tc>
          <w:tcPr>
            <w:tcW w:w="2317" w:type="dxa"/>
          </w:tcPr>
          <w:p w:rsidR="000137BF" w:rsidRDefault="00FA5445" w:rsidP="00FA5445">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Highlight benefits of TMO. Build </w:t>
            </w:r>
            <w:r w:rsidR="000137BF" w:rsidRPr="00E03343">
              <w:rPr>
                <w:rFonts w:asciiTheme="minorHAnsi" w:hAnsiTheme="minorHAnsi" w:cstheme="minorHAnsi"/>
                <w:color w:val="auto"/>
                <w:sz w:val="22"/>
                <w:szCs w:val="22"/>
              </w:rPr>
              <w:t xml:space="preserve">membership base. Continue service improvement. </w:t>
            </w:r>
          </w:p>
          <w:p w:rsidR="007006E2" w:rsidRDefault="000137BF" w:rsidP="00FA5445">
            <w:pPr>
              <w:pStyle w:val="Default"/>
              <w:rPr>
                <w:rFonts w:asciiTheme="minorHAnsi" w:hAnsiTheme="minorHAnsi" w:cstheme="minorHAnsi"/>
                <w:color w:val="auto"/>
                <w:sz w:val="22"/>
                <w:szCs w:val="22"/>
              </w:rPr>
            </w:pPr>
            <w:r w:rsidRPr="00E03343">
              <w:rPr>
                <w:rFonts w:asciiTheme="minorHAnsi" w:hAnsiTheme="minorHAnsi" w:cstheme="minorHAnsi"/>
                <w:color w:val="auto"/>
                <w:sz w:val="22"/>
                <w:szCs w:val="22"/>
              </w:rPr>
              <w:t>Review recruitment processes. Ensure good conditions of servic</w:t>
            </w:r>
            <w:r w:rsidR="007006E2">
              <w:rPr>
                <w:rFonts w:asciiTheme="minorHAnsi" w:hAnsiTheme="minorHAnsi" w:cstheme="minorHAnsi"/>
                <w:color w:val="auto"/>
                <w:sz w:val="22"/>
                <w:szCs w:val="22"/>
              </w:rPr>
              <w:t>e and healthy work environment.</w:t>
            </w:r>
          </w:p>
          <w:p w:rsidR="000137BF" w:rsidRPr="00E03343" w:rsidRDefault="000137BF" w:rsidP="00FA5445">
            <w:pPr>
              <w:pStyle w:val="Default"/>
              <w:rPr>
                <w:rFonts w:asciiTheme="minorHAnsi" w:hAnsiTheme="minorHAnsi" w:cstheme="minorHAnsi"/>
                <w:color w:val="auto"/>
                <w:sz w:val="22"/>
                <w:szCs w:val="22"/>
              </w:rPr>
            </w:pPr>
            <w:r w:rsidRPr="00E03343">
              <w:rPr>
                <w:rFonts w:asciiTheme="minorHAnsi" w:hAnsiTheme="minorHAnsi" w:cstheme="minorHAnsi"/>
                <w:color w:val="auto"/>
                <w:sz w:val="22"/>
                <w:szCs w:val="22"/>
              </w:rPr>
              <w:t xml:space="preserve">Prioritise training and development of Board. </w:t>
            </w:r>
          </w:p>
          <w:p w:rsidR="000137BF" w:rsidRPr="00E03343" w:rsidRDefault="000137BF" w:rsidP="00FA5445">
            <w:pPr>
              <w:pStyle w:val="Default"/>
              <w:rPr>
                <w:rFonts w:asciiTheme="minorHAnsi" w:hAnsiTheme="minorHAnsi" w:cstheme="minorHAnsi"/>
                <w:color w:val="auto"/>
                <w:sz w:val="22"/>
                <w:szCs w:val="22"/>
              </w:rPr>
            </w:pPr>
            <w:r w:rsidRPr="00E03343">
              <w:rPr>
                <w:rFonts w:asciiTheme="minorHAnsi" w:hAnsiTheme="minorHAnsi" w:cstheme="minorHAnsi"/>
                <w:color w:val="auto"/>
                <w:sz w:val="22"/>
                <w:szCs w:val="22"/>
              </w:rPr>
              <w:t xml:space="preserve">Clarify opportunities of membership at tenancy sign-up. </w:t>
            </w:r>
          </w:p>
        </w:tc>
      </w:tr>
      <w:tr w:rsidR="000137BF" w:rsidRPr="00E03343" w:rsidTr="002B493B">
        <w:tc>
          <w:tcPr>
            <w:tcW w:w="9268" w:type="dxa"/>
            <w:gridSpan w:val="4"/>
          </w:tcPr>
          <w:p w:rsidR="000137BF" w:rsidRPr="00E03343" w:rsidRDefault="000137BF" w:rsidP="00FA5445">
            <w:pPr>
              <w:pStyle w:val="Default"/>
              <w:rPr>
                <w:rFonts w:asciiTheme="minorHAnsi" w:hAnsiTheme="minorHAnsi" w:cstheme="minorHAnsi"/>
                <w:b/>
                <w:i/>
                <w:color w:val="auto"/>
                <w:sz w:val="22"/>
                <w:szCs w:val="22"/>
              </w:rPr>
            </w:pPr>
            <w:r w:rsidRPr="00E03343">
              <w:rPr>
                <w:rFonts w:asciiTheme="minorHAnsi" w:hAnsiTheme="minorHAnsi" w:cstheme="minorHAnsi"/>
                <w:b/>
                <w:i/>
                <w:color w:val="auto"/>
                <w:sz w:val="22"/>
                <w:szCs w:val="22"/>
              </w:rPr>
              <w:t>Finance</w:t>
            </w:r>
          </w:p>
        </w:tc>
      </w:tr>
      <w:tr w:rsidR="000137BF" w:rsidRPr="00E03343" w:rsidTr="002B493B">
        <w:tc>
          <w:tcPr>
            <w:tcW w:w="2317" w:type="dxa"/>
          </w:tcPr>
          <w:p w:rsidR="000137BF" w:rsidRPr="00E03343" w:rsidRDefault="003076E5" w:rsidP="00FA5445">
            <w:pPr>
              <w:pStyle w:val="Default"/>
              <w:rPr>
                <w:rFonts w:asciiTheme="minorHAnsi" w:hAnsiTheme="minorHAnsi" w:cstheme="minorHAnsi"/>
                <w:color w:val="auto"/>
                <w:sz w:val="22"/>
                <w:szCs w:val="22"/>
              </w:rPr>
            </w:pPr>
            <w:r>
              <w:rPr>
                <w:rFonts w:asciiTheme="minorHAnsi" w:hAnsiTheme="minorHAnsi" w:cstheme="minorHAnsi"/>
                <w:color w:val="auto"/>
                <w:sz w:val="22"/>
                <w:szCs w:val="22"/>
              </w:rPr>
              <w:t>Reduction in allowances</w:t>
            </w:r>
          </w:p>
        </w:tc>
        <w:tc>
          <w:tcPr>
            <w:tcW w:w="2317" w:type="dxa"/>
          </w:tcPr>
          <w:p w:rsidR="000137BF" w:rsidRPr="00E03343" w:rsidRDefault="000137BF" w:rsidP="00930D98">
            <w:pPr>
              <w:pStyle w:val="Default"/>
              <w:jc w:val="both"/>
              <w:rPr>
                <w:rFonts w:asciiTheme="minorHAnsi" w:hAnsiTheme="minorHAnsi" w:cstheme="minorHAnsi"/>
                <w:color w:val="auto"/>
                <w:sz w:val="22"/>
                <w:szCs w:val="22"/>
              </w:rPr>
            </w:pPr>
            <w:r w:rsidRPr="00E03343">
              <w:rPr>
                <w:rFonts w:asciiTheme="minorHAnsi" w:hAnsiTheme="minorHAnsi" w:cstheme="minorHAnsi"/>
                <w:color w:val="auto"/>
                <w:sz w:val="22"/>
                <w:szCs w:val="22"/>
              </w:rPr>
              <w:t xml:space="preserve">High </w:t>
            </w:r>
          </w:p>
        </w:tc>
        <w:tc>
          <w:tcPr>
            <w:tcW w:w="2317" w:type="dxa"/>
          </w:tcPr>
          <w:p w:rsidR="000137BF" w:rsidRPr="00E03343" w:rsidRDefault="002B493B" w:rsidP="00930D98">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High</w:t>
            </w:r>
          </w:p>
        </w:tc>
        <w:tc>
          <w:tcPr>
            <w:tcW w:w="2317" w:type="dxa"/>
          </w:tcPr>
          <w:p w:rsidR="000137BF" w:rsidRPr="00E03343" w:rsidRDefault="000137BF" w:rsidP="00FA5445">
            <w:pPr>
              <w:pStyle w:val="Default"/>
              <w:rPr>
                <w:rFonts w:asciiTheme="minorHAnsi" w:hAnsiTheme="minorHAnsi" w:cstheme="minorHAnsi"/>
                <w:color w:val="auto"/>
                <w:sz w:val="22"/>
                <w:szCs w:val="22"/>
              </w:rPr>
            </w:pPr>
            <w:r w:rsidRPr="00E03343">
              <w:rPr>
                <w:rFonts w:asciiTheme="minorHAnsi" w:hAnsiTheme="minorHAnsi" w:cstheme="minorHAnsi"/>
                <w:color w:val="auto"/>
                <w:sz w:val="22"/>
                <w:szCs w:val="22"/>
              </w:rPr>
              <w:t xml:space="preserve">Explore other income streams. </w:t>
            </w:r>
          </w:p>
        </w:tc>
      </w:tr>
    </w:tbl>
    <w:p w:rsidR="00D809C3" w:rsidRPr="00E03343" w:rsidRDefault="00D809C3" w:rsidP="00920A1B">
      <w:pPr>
        <w:jc w:val="both"/>
      </w:pPr>
    </w:p>
    <w:sectPr w:rsidR="00D809C3" w:rsidRPr="00E03343">
      <w:headerReference w:type="default" r:id="rId11"/>
      <w:footerReference w:type="default" r:id="rId12"/>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550" w:rsidRDefault="00845550" w:rsidP="000C3238">
      <w:pPr>
        <w:spacing w:after="0" w:line="240" w:lineRule="auto"/>
      </w:pPr>
      <w:r>
        <w:separator/>
      </w:r>
    </w:p>
  </w:endnote>
  <w:endnote w:type="continuationSeparator" w:id="0">
    <w:p w:rsidR="00845550" w:rsidRDefault="00845550" w:rsidP="000C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022800"/>
      <w:docPartObj>
        <w:docPartGallery w:val="Page Numbers (Bottom of Page)"/>
        <w:docPartUnique/>
      </w:docPartObj>
    </w:sdtPr>
    <w:sdtEndPr>
      <w:rPr>
        <w:noProof/>
      </w:rPr>
    </w:sdtEndPr>
    <w:sdtContent>
      <w:p w:rsidR="005F6F39" w:rsidRDefault="005F6F39">
        <w:pPr>
          <w:pStyle w:val="Footer"/>
          <w:jc w:val="center"/>
        </w:pPr>
        <w:r>
          <w:fldChar w:fldCharType="begin"/>
        </w:r>
        <w:r>
          <w:instrText xml:space="preserve"> PAGE   \* MERGEFORMAT </w:instrText>
        </w:r>
        <w:r>
          <w:fldChar w:fldCharType="separate"/>
        </w:r>
        <w:r w:rsidR="00E651F0">
          <w:rPr>
            <w:noProof/>
          </w:rPr>
          <w:t>1</w:t>
        </w:r>
        <w:r>
          <w:rPr>
            <w:noProof/>
          </w:rPr>
          <w:fldChar w:fldCharType="end"/>
        </w:r>
      </w:p>
    </w:sdtContent>
  </w:sdt>
  <w:p w:rsidR="005F6F39" w:rsidRDefault="005F6F39" w:rsidP="007C688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550" w:rsidRDefault="00845550" w:rsidP="000C3238">
      <w:pPr>
        <w:spacing w:after="0" w:line="240" w:lineRule="auto"/>
      </w:pPr>
      <w:r>
        <w:separator/>
      </w:r>
    </w:p>
  </w:footnote>
  <w:footnote w:type="continuationSeparator" w:id="0">
    <w:p w:rsidR="00845550" w:rsidRDefault="00845550" w:rsidP="000C3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39" w:rsidRDefault="005F6F39" w:rsidP="000C323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45BA"/>
    <w:multiLevelType w:val="multilevel"/>
    <w:tmpl w:val="4A122A7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996F73"/>
    <w:multiLevelType w:val="hybridMultilevel"/>
    <w:tmpl w:val="DA7454AA"/>
    <w:lvl w:ilvl="0" w:tplc="8E14104E">
      <w:start w:val="1"/>
      <w:numFmt w:val="bullet"/>
      <w:lvlText w:val="·"/>
      <w:lvlJc w:val="left"/>
      <w:pPr>
        <w:tabs>
          <w:tab w:val="num" w:pos="144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006F46">
      <w:start w:val="1"/>
      <w:numFmt w:val="bullet"/>
      <w:lvlText w:val="o"/>
      <w:lvlJc w:val="left"/>
      <w:pPr>
        <w:tabs>
          <w:tab w:val="left" w:pos="1440"/>
          <w:tab w:val="num" w:pos="216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822ECA">
      <w:start w:val="1"/>
      <w:numFmt w:val="bullet"/>
      <w:lvlText w:val="▪"/>
      <w:lvlJc w:val="left"/>
      <w:pPr>
        <w:tabs>
          <w:tab w:val="left" w:pos="1440"/>
          <w:tab w:val="num" w:pos="2880"/>
        </w:tabs>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02A508">
      <w:start w:val="1"/>
      <w:numFmt w:val="bullet"/>
      <w:lvlText w:val="·"/>
      <w:lvlJc w:val="left"/>
      <w:pPr>
        <w:tabs>
          <w:tab w:val="left" w:pos="1440"/>
          <w:tab w:val="num" w:pos="360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2A1BEE">
      <w:start w:val="1"/>
      <w:numFmt w:val="bullet"/>
      <w:lvlText w:val="o"/>
      <w:lvlJc w:val="left"/>
      <w:pPr>
        <w:tabs>
          <w:tab w:val="left" w:pos="1440"/>
          <w:tab w:val="num" w:pos="432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8A8B6C">
      <w:start w:val="1"/>
      <w:numFmt w:val="bullet"/>
      <w:lvlText w:val="▪"/>
      <w:lvlJc w:val="left"/>
      <w:pPr>
        <w:tabs>
          <w:tab w:val="left" w:pos="1440"/>
          <w:tab w:val="num" w:pos="5040"/>
        </w:tabs>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BAF55E">
      <w:start w:val="1"/>
      <w:numFmt w:val="bullet"/>
      <w:lvlText w:val="·"/>
      <w:lvlJc w:val="left"/>
      <w:pPr>
        <w:tabs>
          <w:tab w:val="left" w:pos="1440"/>
          <w:tab w:val="num" w:pos="576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28B8D6">
      <w:start w:val="1"/>
      <w:numFmt w:val="bullet"/>
      <w:lvlText w:val="o"/>
      <w:lvlJc w:val="left"/>
      <w:pPr>
        <w:tabs>
          <w:tab w:val="left" w:pos="1440"/>
          <w:tab w:val="num" w:pos="648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289D40">
      <w:start w:val="1"/>
      <w:numFmt w:val="bullet"/>
      <w:lvlText w:val="▪"/>
      <w:lvlJc w:val="left"/>
      <w:pPr>
        <w:tabs>
          <w:tab w:val="left" w:pos="1440"/>
          <w:tab w:val="num" w:pos="7200"/>
        </w:tabs>
        <w:ind w:left="64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BA7644F"/>
    <w:multiLevelType w:val="hybridMultilevel"/>
    <w:tmpl w:val="FAB8E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1095351"/>
    <w:multiLevelType w:val="hybridMultilevel"/>
    <w:tmpl w:val="FD16F12E"/>
    <w:lvl w:ilvl="0" w:tplc="D76492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1911C4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B01071"/>
    <w:multiLevelType w:val="hybridMultilevel"/>
    <w:tmpl w:val="C61E055C"/>
    <w:lvl w:ilvl="0" w:tplc="F27E96E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2902BB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ED274CA">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3A40AD0">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F50881A">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FC66B26">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B203EA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F7C5334">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5DE86A6">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4ABC6009"/>
    <w:multiLevelType w:val="multilevel"/>
    <w:tmpl w:val="65804FF0"/>
    <w:styleLink w:val="ImportedStyle1"/>
    <w:lvl w:ilvl="0">
      <w:start w:val="1"/>
      <w:numFmt w:val="decimal"/>
      <w:lvlText w:val="%1."/>
      <w:lvlJc w:val="left"/>
      <w:pPr>
        <w:ind w:left="980" w:hanging="98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2."/>
      <w:lvlJc w:val="left"/>
      <w:pPr>
        <w:ind w:left="720" w:hanging="72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2.%3."/>
      <w:lvlJc w:val="left"/>
      <w:pPr>
        <w:ind w:left="720" w:hanging="72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2.%3.%4."/>
      <w:lvlJc w:val="left"/>
      <w:pPr>
        <w:ind w:left="36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suff w:val="nothing"/>
      <w:lvlText w:val="%2.%3.%4.%5."/>
      <w:lvlJc w:val="left"/>
      <w:pPr>
        <w:ind w:left="720" w:hanging="72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2.%3.%4.%5.%6."/>
      <w:lvlJc w:val="left"/>
      <w:pPr>
        <w:ind w:left="720" w:hanging="72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suff w:val="nothing"/>
      <w:lvlText w:val="%2.%3.%4.%5.%6.%7."/>
      <w:lvlJc w:val="left"/>
      <w:pPr>
        <w:ind w:left="1080" w:hanging="108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lvlText w:val="%2.%3.%4.%5.%6.%7.%8."/>
      <w:lvlJc w:val="left"/>
      <w:pPr>
        <w:ind w:left="1440" w:hanging="144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suff w:val="nothing"/>
      <w:lvlText w:val="%2.%3.%4.%5.%6.%7.%8.%9."/>
      <w:lvlJc w:val="left"/>
      <w:pPr>
        <w:ind w:left="1440" w:hanging="144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590E401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117E95"/>
    <w:multiLevelType w:val="hybridMultilevel"/>
    <w:tmpl w:val="113EB320"/>
    <w:lvl w:ilvl="0" w:tplc="FBC8B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633E43"/>
    <w:multiLevelType w:val="multilevel"/>
    <w:tmpl w:val="7CD8E89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CFA2B14"/>
    <w:multiLevelType w:val="multilevel"/>
    <w:tmpl w:val="99B2D1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E8A6122"/>
    <w:multiLevelType w:val="hybridMultilevel"/>
    <w:tmpl w:val="0614AB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FE4619"/>
    <w:multiLevelType w:val="multilevel"/>
    <w:tmpl w:val="65804FF0"/>
    <w:numStyleLink w:val="ImportedStyle1"/>
  </w:abstractNum>
  <w:abstractNum w:abstractNumId="13" w15:restartNumberingAfterBreak="0">
    <w:nsid w:val="77BD51C1"/>
    <w:multiLevelType w:val="hybridMultilevel"/>
    <w:tmpl w:val="A11062C8"/>
    <w:lvl w:ilvl="0" w:tplc="FBC8B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95C2110"/>
    <w:multiLevelType w:val="hybridMultilevel"/>
    <w:tmpl w:val="3822D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B6F349C"/>
    <w:multiLevelType w:val="multilevel"/>
    <w:tmpl w:val="277E8BC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15:restartNumberingAfterBreak="0">
    <w:nsid w:val="7BE66F1D"/>
    <w:multiLevelType w:val="hybridMultilevel"/>
    <w:tmpl w:val="A11062C8"/>
    <w:lvl w:ilvl="0" w:tplc="FBC8B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15"/>
  </w:num>
  <w:num w:numId="3">
    <w:abstractNumId w:val="3"/>
  </w:num>
  <w:num w:numId="4">
    <w:abstractNumId w:val="16"/>
  </w:num>
  <w:num w:numId="5">
    <w:abstractNumId w:val="7"/>
  </w:num>
  <w:num w:numId="6">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0"/>
  </w:num>
  <w:num w:numId="11">
    <w:abstractNumId w:val="13"/>
  </w:num>
  <w:num w:numId="12">
    <w:abstractNumId w:val="5"/>
  </w:num>
  <w:num w:numId="13">
    <w:abstractNumId w:val="0"/>
  </w:num>
  <w:num w:numId="14">
    <w:abstractNumId w:val="14"/>
  </w:num>
  <w:num w:numId="15">
    <w:abstractNumId w:val="2"/>
  </w:num>
  <w:num w:numId="16">
    <w:abstractNumId w:val="1"/>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73"/>
    <w:rsid w:val="000000F9"/>
    <w:rsid w:val="000137BF"/>
    <w:rsid w:val="00031C05"/>
    <w:rsid w:val="0003661D"/>
    <w:rsid w:val="000674D9"/>
    <w:rsid w:val="00077EA6"/>
    <w:rsid w:val="000901BC"/>
    <w:rsid w:val="000939D5"/>
    <w:rsid w:val="000B25C9"/>
    <w:rsid w:val="000B5AC7"/>
    <w:rsid w:val="000B6A48"/>
    <w:rsid w:val="000C3238"/>
    <w:rsid w:val="000F1B55"/>
    <w:rsid w:val="000F1EDC"/>
    <w:rsid w:val="0014589B"/>
    <w:rsid w:val="001831A7"/>
    <w:rsid w:val="001B4453"/>
    <w:rsid w:val="002350D9"/>
    <w:rsid w:val="00273982"/>
    <w:rsid w:val="002829DF"/>
    <w:rsid w:val="002B493B"/>
    <w:rsid w:val="002C5759"/>
    <w:rsid w:val="002D0A24"/>
    <w:rsid w:val="003043F5"/>
    <w:rsid w:val="003076E5"/>
    <w:rsid w:val="00325056"/>
    <w:rsid w:val="00350A0A"/>
    <w:rsid w:val="003A4EED"/>
    <w:rsid w:val="003B53C9"/>
    <w:rsid w:val="003D5921"/>
    <w:rsid w:val="003D658F"/>
    <w:rsid w:val="004024A5"/>
    <w:rsid w:val="00412F32"/>
    <w:rsid w:val="00442FDB"/>
    <w:rsid w:val="00456670"/>
    <w:rsid w:val="00457865"/>
    <w:rsid w:val="00462930"/>
    <w:rsid w:val="00480ADE"/>
    <w:rsid w:val="004A397E"/>
    <w:rsid w:val="004B3A99"/>
    <w:rsid w:val="004C07DA"/>
    <w:rsid w:val="004C42BB"/>
    <w:rsid w:val="00512232"/>
    <w:rsid w:val="00530E45"/>
    <w:rsid w:val="00543EE7"/>
    <w:rsid w:val="0056558E"/>
    <w:rsid w:val="00586B28"/>
    <w:rsid w:val="00586E52"/>
    <w:rsid w:val="005B1659"/>
    <w:rsid w:val="005C701B"/>
    <w:rsid w:val="005D0C49"/>
    <w:rsid w:val="005D72DA"/>
    <w:rsid w:val="005F4D2A"/>
    <w:rsid w:val="005F6F39"/>
    <w:rsid w:val="006433DE"/>
    <w:rsid w:val="0067329C"/>
    <w:rsid w:val="006B3472"/>
    <w:rsid w:val="006C1FAD"/>
    <w:rsid w:val="006D0779"/>
    <w:rsid w:val="007006E2"/>
    <w:rsid w:val="00762F87"/>
    <w:rsid w:val="00767082"/>
    <w:rsid w:val="007C2656"/>
    <w:rsid w:val="007C688A"/>
    <w:rsid w:val="007E604C"/>
    <w:rsid w:val="007F6524"/>
    <w:rsid w:val="00833E30"/>
    <w:rsid w:val="00845550"/>
    <w:rsid w:val="008807EB"/>
    <w:rsid w:val="00881E95"/>
    <w:rsid w:val="00883A34"/>
    <w:rsid w:val="00887D83"/>
    <w:rsid w:val="008E0E70"/>
    <w:rsid w:val="008F2DF5"/>
    <w:rsid w:val="00910655"/>
    <w:rsid w:val="00914FE5"/>
    <w:rsid w:val="00920A1B"/>
    <w:rsid w:val="00930D98"/>
    <w:rsid w:val="00973009"/>
    <w:rsid w:val="009973FE"/>
    <w:rsid w:val="009D311D"/>
    <w:rsid w:val="009F7476"/>
    <w:rsid w:val="00A057D9"/>
    <w:rsid w:val="00A75435"/>
    <w:rsid w:val="00AB05FE"/>
    <w:rsid w:val="00AB7BFF"/>
    <w:rsid w:val="00AD05CB"/>
    <w:rsid w:val="00AE1012"/>
    <w:rsid w:val="00B07A04"/>
    <w:rsid w:val="00B14974"/>
    <w:rsid w:val="00B547FD"/>
    <w:rsid w:val="00B61910"/>
    <w:rsid w:val="00B62678"/>
    <w:rsid w:val="00B7570C"/>
    <w:rsid w:val="00B77904"/>
    <w:rsid w:val="00BD4CAB"/>
    <w:rsid w:val="00C034EA"/>
    <w:rsid w:val="00C045EC"/>
    <w:rsid w:val="00C639B2"/>
    <w:rsid w:val="00C770C9"/>
    <w:rsid w:val="00C86BD2"/>
    <w:rsid w:val="00C95A83"/>
    <w:rsid w:val="00CC6778"/>
    <w:rsid w:val="00CD2F73"/>
    <w:rsid w:val="00CD5EC4"/>
    <w:rsid w:val="00CE76AC"/>
    <w:rsid w:val="00D31463"/>
    <w:rsid w:val="00D36436"/>
    <w:rsid w:val="00D809C3"/>
    <w:rsid w:val="00DA576F"/>
    <w:rsid w:val="00DB25F2"/>
    <w:rsid w:val="00DC6129"/>
    <w:rsid w:val="00DD03FC"/>
    <w:rsid w:val="00DE2F19"/>
    <w:rsid w:val="00DF6E1E"/>
    <w:rsid w:val="00DF7140"/>
    <w:rsid w:val="00E03343"/>
    <w:rsid w:val="00E651F0"/>
    <w:rsid w:val="00E73650"/>
    <w:rsid w:val="00EB06DA"/>
    <w:rsid w:val="00EC086B"/>
    <w:rsid w:val="00ED3A64"/>
    <w:rsid w:val="00EE5553"/>
    <w:rsid w:val="00F73B23"/>
    <w:rsid w:val="00F9191E"/>
    <w:rsid w:val="00FA4A10"/>
    <w:rsid w:val="00FA5445"/>
    <w:rsid w:val="00FD3DB0"/>
    <w:rsid w:val="00FF6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F4A54D4-EBFC-4DB9-A304-14E253A3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A"/>
    <w:link w:val="Heading2Char"/>
    <w:semiHidden/>
    <w:unhideWhenUsed/>
    <w:qFormat/>
    <w:rsid w:val="00881E95"/>
    <w:pPr>
      <w:keepNext/>
      <w:spacing w:before="240" w:after="60" w:line="240" w:lineRule="auto"/>
      <w:outlineLvl w:val="1"/>
    </w:pPr>
    <w:rPr>
      <w:rFonts w:ascii="Arial" w:eastAsia="Arial" w:hAnsi="Arial" w:cs="Arial"/>
      <w:b/>
      <w:bCs/>
      <w:i/>
      <w:iCs/>
      <w:color w:val="000000"/>
      <w:sz w:val="28"/>
      <w:szCs w:val="28"/>
      <w:u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238"/>
    <w:pPr>
      <w:tabs>
        <w:tab w:val="center" w:pos="4819"/>
        <w:tab w:val="right" w:pos="9638"/>
      </w:tabs>
      <w:spacing w:after="0" w:line="240" w:lineRule="auto"/>
    </w:pPr>
  </w:style>
  <w:style w:type="character" w:customStyle="1" w:styleId="HeaderChar">
    <w:name w:val="Header Char"/>
    <w:basedOn w:val="DefaultParagraphFont"/>
    <w:link w:val="Header"/>
    <w:uiPriority w:val="99"/>
    <w:rsid w:val="000C3238"/>
  </w:style>
  <w:style w:type="paragraph" w:styleId="Footer">
    <w:name w:val="footer"/>
    <w:basedOn w:val="Normal"/>
    <w:link w:val="FooterChar"/>
    <w:uiPriority w:val="99"/>
    <w:unhideWhenUsed/>
    <w:rsid w:val="000C3238"/>
    <w:pPr>
      <w:tabs>
        <w:tab w:val="center" w:pos="4819"/>
        <w:tab w:val="right" w:pos="9638"/>
      </w:tabs>
      <w:spacing w:after="0" w:line="240" w:lineRule="auto"/>
    </w:pPr>
  </w:style>
  <w:style w:type="character" w:customStyle="1" w:styleId="FooterChar">
    <w:name w:val="Footer Char"/>
    <w:basedOn w:val="DefaultParagraphFont"/>
    <w:link w:val="Footer"/>
    <w:uiPriority w:val="99"/>
    <w:rsid w:val="000C3238"/>
  </w:style>
  <w:style w:type="paragraph" w:styleId="ListParagraph">
    <w:name w:val="List Paragraph"/>
    <w:basedOn w:val="Normal"/>
    <w:qFormat/>
    <w:rsid w:val="000C3238"/>
    <w:pPr>
      <w:ind w:left="720"/>
      <w:contextualSpacing/>
    </w:pPr>
  </w:style>
  <w:style w:type="character" w:customStyle="1" w:styleId="Heading2Char">
    <w:name w:val="Heading 2 Char"/>
    <w:basedOn w:val="DefaultParagraphFont"/>
    <w:link w:val="Heading2"/>
    <w:semiHidden/>
    <w:rsid w:val="00881E95"/>
    <w:rPr>
      <w:rFonts w:ascii="Arial" w:eastAsia="Arial" w:hAnsi="Arial" w:cs="Arial"/>
      <w:b/>
      <w:bCs/>
      <w:i/>
      <w:iCs/>
      <w:color w:val="000000"/>
      <w:sz w:val="28"/>
      <w:szCs w:val="28"/>
      <w:u w:color="000000"/>
      <w:lang w:eastAsia="en-GB"/>
    </w:rPr>
  </w:style>
  <w:style w:type="paragraph" w:customStyle="1" w:styleId="BodyA">
    <w:name w:val="Body A"/>
    <w:rsid w:val="00881E95"/>
    <w:pPr>
      <w:spacing w:after="0" w:line="240" w:lineRule="auto"/>
    </w:pPr>
    <w:rPr>
      <w:rFonts w:ascii="Times New Roman" w:eastAsia="Times New Roman" w:hAnsi="Times New Roman" w:cs="Times New Roman"/>
      <w:color w:val="000000"/>
      <w:sz w:val="24"/>
      <w:szCs w:val="24"/>
      <w:u w:color="000000"/>
      <w:lang w:val="en-US" w:eastAsia="en-GB"/>
    </w:rPr>
  </w:style>
  <w:style w:type="paragraph" w:styleId="BodyText">
    <w:name w:val="Body Text"/>
    <w:link w:val="BodyTextChar"/>
    <w:semiHidden/>
    <w:unhideWhenUsed/>
    <w:rsid w:val="00881E95"/>
    <w:pPr>
      <w:spacing w:after="120" w:line="240" w:lineRule="auto"/>
    </w:pPr>
    <w:rPr>
      <w:rFonts w:ascii="Times New Roman" w:eastAsia="Arial Unicode MS" w:hAnsi="Times New Roman" w:cs="Arial Unicode MS"/>
      <w:color w:val="000000"/>
      <w:sz w:val="24"/>
      <w:szCs w:val="24"/>
      <w:u w:color="000000"/>
      <w:lang w:val="en-US" w:eastAsia="en-GB"/>
    </w:rPr>
  </w:style>
  <w:style w:type="character" w:customStyle="1" w:styleId="BodyTextChar">
    <w:name w:val="Body Text Char"/>
    <w:basedOn w:val="DefaultParagraphFont"/>
    <w:link w:val="BodyText"/>
    <w:semiHidden/>
    <w:rsid w:val="00881E95"/>
    <w:rPr>
      <w:rFonts w:ascii="Times New Roman" w:eastAsia="Arial Unicode MS" w:hAnsi="Times New Roman" w:cs="Arial Unicode MS"/>
      <w:color w:val="000000"/>
      <w:sz w:val="24"/>
      <w:szCs w:val="24"/>
      <w:u w:color="000000"/>
      <w:lang w:val="en-US" w:eastAsia="en-GB"/>
    </w:rPr>
  </w:style>
  <w:style w:type="paragraph" w:styleId="BodyText2">
    <w:name w:val="Body Text 2"/>
    <w:link w:val="BodyText2Char"/>
    <w:unhideWhenUsed/>
    <w:rsid w:val="00881E95"/>
    <w:pPr>
      <w:spacing w:after="120" w:line="480" w:lineRule="auto"/>
    </w:pPr>
    <w:rPr>
      <w:rFonts w:ascii="Times New Roman" w:eastAsia="Times New Roman" w:hAnsi="Times New Roman" w:cs="Times New Roman"/>
      <w:color w:val="000000"/>
      <w:sz w:val="24"/>
      <w:szCs w:val="24"/>
      <w:u w:color="000000"/>
      <w:lang w:val="en-US" w:eastAsia="en-GB"/>
    </w:rPr>
  </w:style>
  <w:style w:type="character" w:customStyle="1" w:styleId="BodyText2Char">
    <w:name w:val="Body Text 2 Char"/>
    <w:basedOn w:val="DefaultParagraphFont"/>
    <w:link w:val="BodyText2"/>
    <w:rsid w:val="00881E95"/>
    <w:rPr>
      <w:rFonts w:ascii="Times New Roman" w:eastAsia="Times New Roman" w:hAnsi="Times New Roman" w:cs="Times New Roman"/>
      <w:color w:val="000000"/>
      <w:sz w:val="24"/>
      <w:szCs w:val="24"/>
      <w:u w:color="000000"/>
      <w:lang w:val="en-US" w:eastAsia="en-GB"/>
    </w:rPr>
  </w:style>
  <w:style w:type="numbering" w:customStyle="1" w:styleId="ImportedStyle1">
    <w:name w:val="Imported Style 1"/>
    <w:rsid w:val="00881E95"/>
    <w:pPr>
      <w:numPr>
        <w:numId w:val="8"/>
      </w:numPr>
    </w:pPr>
  </w:style>
  <w:style w:type="paragraph" w:customStyle="1" w:styleId="Default">
    <w:name w:val="Default"/>
    <w:rsid w:val="00586B28"/>
    <w:pPr>
      <w:autoSpaceDE w:val="0"/>
      <w:autoSpaceDN w:val="0"/>
      <w:adjustRightInd w:val="0"/>
      <w:spacing w:after="0" w:line="240" w:lineRule="auto"/>
    </w:pPr>
    <w:rPr>
      <w:rFonts w:ascii="Calibri" w:hAnsi="Calibri" w:cs="Calibri"/>
      <w:color w:val="000000"/>
      <w:sz w:val="24"/>
      <w:szCs w:val="24"/>
    </w:rPr>
  </w:style>
  <w:style w:type="paragraph" w:customStyle="1" w:styleId="Style3">
    <w:name w:val="Style3"/>
    <w:rsid w:val="00586B28"/>
    <w:pPr>
      <w:pBdr>
        <w:top w:val="nil"/>
        <w:left w:val="nil"/>
        <w:bottom w:val="nil"/>
        <w:right w:val="nil"/>
        <w:between w:val="nil"/>
        <w:bar w:val="nil"/>
      </w:pBdr>
      <w:spacing w:after="120" w:line="240" w:lineRule="auto"/>
    </w:pPr>
    <w:rPr>
      <w:rFonts w:ascii="Arial" w:eastAsia="Arial" w:hAnsi="Arial" w:cs="Arial"/>
      <w:color w:val="000000"/>
      <w:sz w:val="24"/>
      <w:szCs w:val="24"/>
      <w:u w:color="000000"/>
      <w:bdr w:val="nil"/>
      <w:lang w:val="en-US" w:eastAsia="en-GB"/>
    </w:rPr>
  </w:style>
  <w:style w:type="table" w:styleId="TableGrid">
    <w:name w:val="Table Grid"/>
    <w:basedOn w:val="TableNormal"/>
    <w:uiPriority w:val="39"/>
    <w:rsid w:val="00457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4589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BalloonText">
    <w:name w:val="Balloon Text"/>
    <w:basedOn w:val="Normal"/>
    <w:link w:val="BalloonTextChar"/>
    <w:uiPriority w:val="99"/>
    <w:semiHidden/>
    <w:unhideWhenUsed/>
    <w:rsid w:val="00DF6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E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9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v7\Desktop\KSHC\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v7\Desktop\KSHC\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v7\Desktop\KSHC\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Annual</a:t>
            </a:r>
            <a:r>
              <a:rPr lang="en-GB" baseline="0"/>
              <a:t> breakdown 2016/17</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171025778864175"/>
          <c:y val="0.14651221354822463"/>
          <c:w val="0.8837639069758324"/>
          <c:h val="0.66741533170422662"/>
        </c:manualLayout>
      </c:layout>
      <c:barChart>
        <c:barDir val="col"/>
        <c:grouping val="stacked"/>
        <c:varyColors val="0"/>
        <c:ser>
          <c:idx val="0"/>
          <c:order val="0"/>
          <c:tx>
            <c:strRef>
              <c:f>Sheet1!$L$22</c:f>
              <c:strCache>
                <c:ptCount val="1"/>
                <c:pt idx="0">
                  <c:v>Management</c:v>
                </c:pt>
              </c:strCache>
            </c:strRef>
          </c:tx>
          <c:spPr>
            <a:solidFill>
              <a:schemeClr val="accent1"/>
            </a:solidFill>
            <a:ln>
              <a:noFill/>
            </a:ln>
            <a:effectLst/>
          </c:spPr>
          <c:invertIfNegative val="0"/>
          <c:dPt>
            <c:idx val="0"/>
            <c:invertIfNegative val="0"/>
            <c:bubble3D val="0"/>
            <c:spPr>
              <a:solidFill>
                <a:srgbClr val="00B050"/>
              </a:solidFill>
              <a:ln>
                <a:noFill/>
              </a:ln>
              <a:effectLst/>
            </c:spPr>
          </c:dPt>
          <c:dLbls>
            <c:dLbl>
              <c:idx val="0"/>
              <c:dLblPos val="ctr"/>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Sheet1!$J$22</c:f>
              <c:strCache>
                <c:ptCount val="1"/>
                <c:pt idx="0">
                  <c:v>Total income</c:v>
                </c:pt>
              </c:strCache>
            </c:strRef>
          </c:cat>
          <c:val>
            <c:numRef>
              <c:f>Sheet1!$K$22:$M$22</c:f>
              <c:numCache>
                <c:formatCode>"£"#,##0</c:formatCode>
                <c:ptCount val="2"/>
                <c:pt idx="0">
                  <c:v>403783</c:v>
                </c:pt>
                <c:pt idx="1">
                  <c:v>111943</c:v>
                </c:pt>
              </c:numCache>
            </c:numRef>
          </c:val>
        </c:ser>
        <c:ser>
          <c:idx val="1"/>
          <c:order val="1"/>
          <c:tx>
            <c:strRef>
              <c:f>Sheet1!$L$23</c:f>
              <c:strCache>
                <c:ptCount val="1"/>
                <c:pt idx="0">
                  <c:v>Repairs &amp; maintenance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Sheet1!$J$22</c:f>
              <c:strCache>
                <c:ptCount val="1"/>
                <c:pt idx="0">
                  <c:v>Total income</c:v>
                </c:pt>
              </c:strCache>
            </c:strRef>
          </c:cat>
          <c:val>
            <c:numRef>
              <c:f>Sheet1!$K$23:$M$23</c:f>
              <c:numCache>
                <c:formatCode>"£"#,##0</c:formatCode>
                <c:ptCount val="2"/>
                <c:pt idx="1">
                  <c:v>207113</c:v>
                </c:pt>
              </c:numCache>
            </c:numRef>
          </c:val>
        </c:ser>
        <c:ser>
          <c:idx val="2"/>
          <c:order val="2"/>
          <c:tx>
            <c:strRef>
              <c:f>Sheet1!$L$24</c:f>
              <c:strCache>
                <c:ptCount val="1"/>
                <c:pt idx="0">
                  <c:v>Improvement works</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Sheet1!$J$22</c:f>
              <c:strCache>
                <c:ptCount val="1"/>
                <c:pt idx="0">
                  <c:v>Total income</c:v>
                </c:pt>
              </c:strCache>
            </c:strRef>
          </c:cat>
          <c:val>
            <c:numRef>
              <c:f>Sheet1!$K$24:$M$24</c:f>
              <c:numCache>
                <c:formatCode>"£"#,##0</c:formatCode>
                <c:ptCount val="2"/>
                <c:pt idx="1">
                  <c:v>47778</c:v>
                </c:pt>
              </c:numCache>
            </c:numRef>
          </c:val>
        </c:ser>
        <c:ser>
          <c:idx val="3"/>
          <c:order val="3"/>
          <c:tx>
            <c:strRef>
              <c:f>Sheet1!$L$25</c:f>
              <c:strCache>
                <c:ptCount val="1"/>
                <c:pt idx="0">
                  <c:v>Net surplus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Sheet1!$J$22</c:f>
              <c:strCache>
                <c:ptCount val="1"/>
                <c:pt idx="0">
                  <c:v>Total income</c:v>
                </c:pt>
              </c:strCache>
            </c:strRef>
          </c:cat>
          <c:val>
            <c:numRef>
              <c:f>Sheet1!$K$25:$M$25</c:f>
              <c:numCache>
                <c:formatCode>"£"#,##0</c:formatCode>
                <c:ptCount val="2"/>
                <c:pt idx="1">
                  <c:v>36949</c:v>
                </c:pt>
              </c:numCache>
            </c:numRef>
          </c:val>
        </c:ser>
        <c:dLbls>
          <c:showLegendKey val="0"/>
          <c:showVal val="0"/>
          <c:showCatName val="0"/>
          <c:showSerName val="0"/>
          <c:showPercent val="0"/>
          <c:showBubbleSize val="0"/>
        </c:dLbls>
        <c:gapWidth val="150"/>
        <c:overlap val="100"/>
        <c:axId val="433981616"/>
        <c:axId val="433980048"/>
      </c:barChart>
      <c:catAx>
        <c:axId val="433981616"/>
        <c:scaling>
          <c:orientation val="minMax"/>
        </c:scaling>
        <c:delete val="1"/>
        <c:axPos val="b"/>
        <c:numFmt formatCode="General" sourceLinked="1"/>
        <c:majorTickMark val="none"/>
        <c:minorTickMark val="none"/>
        <c:tickLblPos val="nextTo"/>
        <c:crossAx val="433980048"/>
        <c:crosses val="autoZero"/>
        <c:auto val="1"/>
        <c:lblAlgn val="ctr"/>
        <c:lblOffset val="100"/>
        <c:noMultiLvlLbl val="0"/>
      </c:catAx>
      <c:valAx>
        <c:axId val="433980048"/>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981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Sheet1!$B$9</c:f>
              <c:strCache>
                <c:ptCount val="1"/>
                <c:pt idx="0">
                  <c:v>Annual income 2016/17</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Sheet1!$B$10:$B$12</c:f>
              <c:strCache>
                <c:ptCount val="3"/>
                <c:pt idx="0">
                  <c:v>MMA allowance</c:v>
                </c:pt>
                <c:pt idx="1">
                  <c:v>Other income</c:v>
                </c:pt>
                <c:pt idx="2">
                  <c:v>Bank interest</c:v>
                </c:pt>
              </c:strCache>
            </c:strRef>
          </c:cat>
          <c:val>
            <c:numRef>
              <c:f>Sheet1!$C$10:$C$12</c:f>
              <c:numCache>
                <c:formatCode>"£"#,##0</c:formatCode>
                <c:ptCount val="3"/>
                <c:pt idx="0">
                  <c:v>390825</c:v>
                </c:pt>
                <c:pt idx="1">
                  <c:v>12094</c:v>
                </c:pt>
                <c:pt idx="2">
                  <c:v>864</c:v>
                </c:pt>
              </c:numCache>
            </c:numRef>
          </c:val>
        </c:ser>
        <c:dLbls>
          <c:showLegendKey val="0"/>
          <c:showVal val="0"/>
          <c:showCatName val="0"/>
          <c:showSerName val="0"/>
          <c:showPercent val="0"/>
          <c:showBubbleSize val="0"/>
        </c:dLbls>
        <c:gapWidth val="219"/>
        <c:overlap val="-27"/>
        <c:axId val="433982400"/>
        <c:axId val="433980440"/>
      </c:barChart>
      <c:catAx>
        <c:axId val="43398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980440"/>
        <c:crosses val="autoZero"/>
        <c:auto val="1"/>
        <c:lblAlgn val="ctr"/>
        <c:lblOffset val="100"/>
        <c:noMultiLvlLbl val="0"/>
      </c:catAx>
      <c:valAx>
        <c:axId val="433980440"/>
        <c:scaling>
          <c:orientation val="minMax"/>
          <c:max val="400000"/>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982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Sheet1!$E$9</c:f>
              <c:strCache>
                <c:ptCount val="1"/>
                <c:pt idx="0">
                  <c:v>Annual expenditure 2016/17</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Sheet1!$E$10:$E$12</c:f>
              <c:strCache>
                <c:ptCount val="3"/>
                <c:pt idx="0">
                  <c:v>Management</c:v>
                </c:pt>
                <c:pt idx="1">
                  <c:v>Repairs &amp; maintenance</c:v>
                </c:pt>
                <c:pt idx="2">
                  <c:v>Improvement works</c:v>
                </c:pt>
              </c:strCache>
            </c:strRef>
          </c:cat>
          <c:val>
            <c:numRef>
              <c:f>Sheet1!$F$10:$F$12</c:f>
              <c:numCache>
                <c:formatCode>"£"#,##0</c:formatCode>
                <c:ptCount val="3"/>
                <c:pt idx="0">
                  <c:v>111943</c:v>
                </c:pt>
                <c:pt idx="1">
                  <c:v>207113</c:v>
                </c:pt>
                <c:pt idx="2">
                  <c:v>47778</c:v>
                </c:pt>
              </c:numCache>
            </c:numRef>
          </c:val>
        </c:ser>
        <c:dLbls>
          <c:showLegendKey val="0"/>
          <c:showVal val="0"/>
          <c:showCatName val="0"/>
          <c:showSerName val="0"/>
          <c:showPercent val="0"/>
          <c:showBubbleSize val="0"/>
        </c:dLbls>
        <c:gapWidth val="219"/>
        <c:overlap val="-27"/>
        <c:axId val="433983184"/>
        <c:axId val="433983576"/>
      </c:barChart>
      <c:catAx>
        <c:axId val="43398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983576"/>
        <c:crosses val="autoZero"/>
        <c:auto val="1"/>
        <c:lblAlgn val="ctr"/>
        <c:lblOffset val="100"/>
        <c:noMultiLvlLbl val="0"/>
      </c:catAx>
      <c:valAx>
        <c:axId val="433983576"/>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983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164ACD60</Template>
  <TotalTime>0</TotalTime>
  <Pages>4</Pages>
  <Words>3779</Words>
  <Characters>21543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Dv7</dc:creator>
  <cp:keywords/>
  <dc:description/>
  <cp:lastModifiedBy>Williams, Jennifer</cp:lastModifiedBy>
  <cp:revision>2</cp:revision>
  <cp:lastPrinted>2017-08-17T09:10:00Z</cp:lastPrinted>
  <dcterms:created xsi:type="dcterms:W3CDTF">2017-11-27T10:09:00Z</dcterms:created>
  <dcterms:modified xsi:type="dcterms:W3CDTF">2017-11-27T10:09:00Z</dcterms:modified>
</cp:coreProperties>
</file>